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EE" w:rsidRPr="00BB3883" w:rsidRDefault="000379E8" w:rsidP="00BB3883">
      <w:pPr>
        <w:spacing w:after="0" w:line="240" w:lineRule="auto"/>
        <w:jc w:val="center"/>
        <w:rPr>
          <w:rFonts w:cstheme="minorHAnsi"/>
          <w:b/>
        </w:rPr>
      </w:pPr>
      <w:r w:rsidRPr="00BB3883">
        <w:rPr>
          <w:rFonts w:cstheme="minorHAnsi"/>
          <w:b/>
        </w:rPr>
        <w:t xml:space="preserve">Sickle Cell </w:t>
      </w:r>
      <w:proofErr w:type="spellStart"/>
      <w:r w:rsidRPr="00BB3883">
        <w:rPr>
          <w:rFonts w:cstheme="minorHAnsi"/>
          <w:b/>
        </w:rPr>
        <w:t>Self Assessment</w:t>
      </w:r>
      <w:proofErr w:type="spellEnd"/>
      <w:r w:rsidRPr="00BB3883">
        <w:rPr>
          <w:rFonts w:cstheme="minorHAnsi"/>
          <w:b/>
        </w:rPr>
        <w:t xml:space="preserve"> Questions</w:t>
      </w:r>
    </w:p>
    <w:p w:rsidR="000379E8" w:rsidRPr="00BB3883" w:rsidRDefault="000379E8" w:rsidP="00BB3883">
      <w:pPr>
        <w:spacing w:after="0" w:line="240" w:lineRule="auto"/>
        <w:jc w:val="center"/>
        <w:rPr>
          <w:rFonts w:cstheme="minorHAnsi"/>
          <w:b/>
        </w:rPr>
      </w:pPr>
      <w:r w:rsidRPr="00BB3883">
        <w:rPr>
          <w:rFonts w:cstheme="minorHAnsi"/>
          <w:b/>
        </w:rPr>
        <w:t>2016-2020</w:t>
      </w:r>
    </w:p>
    <w:p w:rsidR="005D06BE" w:rsidRPr="00BB3883" w:rsidRDefault="005D06BE" w:rsidP="00BB3883">
      <w:pPr>
        <w:pStyle w:val="NormalWeb"/>
        <w:spacing w:before="0" w:beforeAutospacing="0" w:after="0" w:afterAutospacing="0"/>
        <w:rPr>
          <w:rFonts w:asciiTheme="minorHAnsi" w:hAnsiTheme="minorHAnsi" w:cstheme="minorHAnsi"/>
          <w:b/>
          <w:color w:val="000000"/>
          <w:sz w:val="22"/>
          <w:szCs w:val="22"/>
          <w:u w:val="single"/>
        </w:rPr>
      </w:pPr>
      <w:bookmarkStart w:id="0" w:name="_Hlk39092392"/>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1</w:t>
      </w:r>
    </w:p>
    <w:p w:rsidR="005D06BE" w:rsidRPr="00BB3883" w:rsidRDefault="005D06BE" w:rsidP="00BB3883">
      <w:pPr>
        <w:spacing w:after="0" w:line="240" w:lineRule="auto"/>
        <w:rPr>
          <w:rFonts w:cstheme="minorHAnsi"/>
          <w:bCs/>
        </w:rPr>
      </w:pPr>
      <w:r w:rsidRPr="00BB3883">
        <w:rPr>
          <w:rFonts w:cstheme="minorHAnsi"/>
          <w:bCs/>
        </w:rPr>
        <w:t xml:space="preserve">A 2-year-old girl with hemoglobin SS presents to the emergency department with a temperature of 37.4°C and fussiness. On physical examination, her heart rate is 162 beats/min, her blood pressure is 78/52 mm Hg, and her oxygen saturation in room air is 96%. She appears pale and her spleen tip is palpable 3 cm below the left costal margin. Her examination is otherwise normal. A complete blood cell count is shown: </w:t>
      </w:r>
    </w:p>
    <w:tbl>
      <w:tblPr>
        <w:tblStyle w:val="TableGrid"/>
        <w:tblW w:w="0" w:type="auto"/>
        <w:jc w:val="center"/>
        <w:tblLayout w:type="fixed"/>
        <w:tblLook w:val="0000" w:firstRow="0" w:lastRow="0" w:firstColumn="0" w:lastColumn="0" w:noHBand="0" w:noVBand="0"/>
      </w:tblPr>
      <w:tblGrid>
        <w:gridCol w:w="3003"/>
        <w:gridCol w:w="3003"/>
      </w:tblGrid>
      <w:tr w:rsidR="005D06BE" w:rsidRPr="00BB3883" w:rsidTr="000361A7">
        <w:trPr>
          <w:trHeight w:val="109"/>
          <w:jc w:val="center"/>
        </w:trPr>
        <w:tc>
          <w:tcPr>
            <w:tcW w:w="3003" w:type="dxa"/>
          </w:tcPr>
          <w:p w:rsidR="005D06BE" w:rsidRPr="00BB3883" w:rsidRDefault="005D06BE" w:rsidP="00BB3883">
            <w:pPr>
              <w:rPr>
                <w:rFonts w:cstheme="minorHAnsi"/>
                <w:bCs/>
              </w:rPr>
            </w:pPr>
            <w:r w:rsidRPr="00BB3883">
              <w:rPr>
                <w:rFonts w:cstheme="minorHAnsi"/>
                <w:bCs/>
              </w:rPr>
              <w:t xml:space="preserve">Laboratory Test </w:t>
            </w:r>
          </w:p>
        </w:tc>
        <w:tc>
          <w:tcPr>
            <w:tcW w:w="3003" w:type="dxa"/>
          </w:tcPr>
          <w:p w:rsidR="005D06BE" w:rsidRPr="00BB3883" w:rsidRDefault="005D06BE" w:rsidP="00BB3883">
            <w:pPr>
              <w:rPr>
                <w:rFonts w:cstheme="minorHAnsi"/>
                <w:bCs/>
              </w:rPr>
            </w:pPr>
            <w:r w:rsidRPr="00BB3883">
              <w:rPr>
                <w:rFonts w:cstheme="minorHAnsi"/>
                <w:bCs/>
              </w:rPr>
              <w:t xml:space="preserve">Patient Results </w:t>
            </w:r>
          </w:p>
        </w:tc>
      </w:tr>
      <w:tr w:rsidR="005D06BE" w:rsidRPr="00BB3883" w:rsidTr="000361A7">
        <w:trPr>
          <w:trHeight w:val="127"/>
          <w:jc w:val="center"/>
        </w:trPr>
        <w:tc>
          <w:tcPr>
            <w:tcW w:w="3003" w:type="dxa"/>
          </w:tcPr>
          <w:p w:rsidR="005D06BE" w:rsidRPr="00BB3883" w:rsidRDefault="005D06BE" w:rsidP="00BB3883">
            <w:pPr>
              <w:rPr>
                <w:rFonts w:cstheme="minorHAnsi"/>
                <w:bCs/>
              </w:rPr>
            </w:pPr>
            <w:r w:rsidRPr="00BB3883">
              <w:rPr>
                <w:rFonts w:cstheme="minorHAnsi"/>
                <w:bCs/>
              </w:rPr>
              <w:t xml:space="preserve">White blood cell </w:t>
            </w:r>
          </w:p>
        </w:tc>
        <w:tc>
          <w:tcPr>
            <w:tcW w:w="3003" w:type="dxa"/>
          </w:tcPr>
          <w:p w:rsidR="005D06BE" w:rsidRPr="00BB3883" w:rsidRDefault="005D06BE" w:rsidP="00BB3883">
            <w:pPr>
              <w:rPr>
                <w:rFonts w:cstheme="minorHAnsi"/>
                <w:bCs/>
              </w:rPr>
            </w:pPr>
            <w:r w:rsidRPr="00BB3883">
              <w:rPr>
                <w:rFonts w:cstheme="minorHAnsi"/>
                <w:bCs/>
              </w:rPr>
              <w:t>13,000/</w:t>
            </w:r>
            <w:proofErr w:type="spellStart"/>
            <w:r w:rsidRPr="00BB3883">
              <w:rPr>
                <w:rFonts w:cstheme="minorHAnsi"/>
                <w:bCs/>
              </w:rPr>
              <w:t>μL</w:t>
            </w:r>
            <w:proofErr w:type="spellEnd"/>
            <w:r w:rsidRPr="00BB3883">
              <w:rPr>
                <w:rFonts w:cstheme="minorHAnsi"/>
                <w:bCs/>
              </w:rPr>
              <w:t xml:space="preserve"> (13 × 109/L) </w:t>
            </w:r>
          </w:p>
        </w:tc>
      </w:tr>
      <w:tr w:rsidR="005D06BE" w:rsidRPr="00BB3883" w:rsidTr="000361A7">
        <w:trPr>
          <w:trHeight w:val="109"/>
          <w:jc w:val="center"/>
        </w:trPr>
        <w:tc>
          <w:tcPr>
            <w:tcW w:w="3003" w:type="dxa"/>
          </w:tcPr>
          <w:p w:rsidR="005D06BE" w:rsidRPr="00BB3883" w:rsidRDefault="005D06BE" w:rsidP="00BB3883">
            <w:pPr>
              <w:rPr>
                <w:rFonts w:cstheme="minorHAnsi"/>
                <w:bCs/>
              </w:rPr>
            </w:pPr>
            <w:r w:rsidRPr="00BB3883">
              <w:rPr>
                <w:rFonts w:cstheme="minorHAnsi"/>
                <w:bCs/>
              </w:rPr>
              <w:t xml:space="preserve">Hemoglobin </w:t>
            </w:r>
          </w:p>
        </w:tc>
        <w:tc>
          <w:tcPr>
            <w:tcW w:w="3003" w:type="dxa"/>
          </w:tcPr>
          <w:p w:rsidR="005D06BE" w:rsidRPr="00BB3883" w:rsidRDefault="005D06BE" w:rsidP="00BB3883">
            <w:pPr>
              <w:rPr>
                <w:rFonts w:cstheme="minorHAnsi"/>
                <w:bCs/>
              </w:rPr>
            </w:pPr>
            <w:r w:rsidRPr="00BB3883">
              <w:rPr>
                <w:rFonts w:cstheme="minorHAnsi"/>
                <w:bCs/>
              </w:rPr>
              <w:t xml:space="preserve">5.1 g/dL (51 g/L) </w:t>
            </w:r>
          </w:p>
        </w:tc>
      </w:tr>
      <w:tr w:rsidR="005D06BE" w:rsidRPr="00BB3883" w:rsidTr="000361A7">
        <w:trPr>
          <w:trHeight w:val="109"/>
          <w:jc w:val="center"/>
        </w:trPr>
        <w:tc>
          <w:tcPr>
            <w:tcW w:w="3003" w:type="dxa"/>
          </w:tcPr>
          <w:p w:rsidR="005D06BE" w:rsidRPr="00BB3883" w:rsidRDefault="005D06BE" w:rsidP="00BB3883">
            <w:pPr>
              <w:rPr>
                <w:rFonts w:cstheme="minorHAnsi"/>
                <w:bCs/>
              </w:rPr>
            </w:pPr>
            <w:r w:rsidRPr="00BB3883">
              <w:rPr>
                <w:rFonts w:cstheme="minorHAnsi"/>
                <w:bCs/>
              </w:rPr>
              <w:t xml:space="preserve">Mean corpuscular volume </w:t>
            </w:r>
          </w:p>
        </w:tc>
        <w:tc>
          <w:tcPr>
            <w:tcW w:w="3003" w:type="dxa"/>
          </w:tcPr>
          <w:p w:rsidR="005D06BE" w:rsidRPr="00BB3883" w:rsidRDefault="005D06BE" w:rsidP="00BB3883">
            <w:pPr>
              <w:rPr>
                <w:rFonts w:cstheme="minorHAnsi"/>
                <w:bCs/>
              </w:rPr>
            </w:pPr>
            <w:r w:rsidRPr="00BB3883">
              <w:rPr>
                <w:rFonts w:cstheme="minorHAnsi"/>
                <w:bCs/>
              </w:rPr>
              <w:t xml:space="preserve">88 </w:t>
            </w:r>
            <w:proofErr w:type="spellStart"/>
            <w:r w:rsidRPr="00BB3883">
              <w:rPr>
                <w:rFonts w:cstheme="minorHAnsi"/>
                <w:bCs/>
              </w:rPr>
              <w:t>fL</w:t>
            </w:r>
            <w:proofErr w:type="spellEnd"/>
            <w:r w:rsidRPr="00BB3883">
              <w:rPr>
                <w:rFonts w:cstheme="minorHAnsi"/>
                <w:bCs/>
              </w:rPr>
              <w:t xml:space="preserve"> </w:t>
            </w:r>
          </w:p>
        </w:tc>
      </w:tr>
      <w:tr w:rsidR="005D06BE" w:rsidRPr="00BB3883" w:rsidTr="000361A7">
        <w:trPr>
          <w:trHeight w:val="127"/>
          <w:jc w:val="center"/>
        </w:trPr>
        <w:tc>
          <w:tcPr>
            <w:tcW w:w="3003" w:type="dxa"/>
          </w:tcPr>
          <w:p w:rsidR="005D06BE" w:rsidRPr="00BB3883" w:rsidRDefault="005D06BE" w:rsidP="00BB3883">
            <w:pPr>
              <w:rPr>
                <w:rFonts w:cstheme="minorHAnsi"/>
                <w:bCs/>
              </w:rPr>
            </w:pPr>
            <w:r w:rsidRPr="00BB3883">
              <w:rPr>
                <w:rFonts w:cstheme="minorHAnsi"/>
                <w:bCs/>
              </w:rPr>
              <w:t xml:space="preserve">Platelets </w:t>
            </w:r>
          </w:p>
        </w:tc>
        <w:tc>
          <w:tcPr>
            <w:tcW w:w="3003" w:type="dxa"/>
          </w:tcPr>
          <w:p w:rsidR="005D06BE" w:rsidRPr="00BB3883" w:rsidRDefault="005D06BE" w:rsidP="00BB3883">
            <w:pPr>
              <w:rPr>
                <w:rFonts w:cstheme="minorHAnsi"/>
                <w:bCs/>
              </w:rPr>
            </w:pPr>
            <w:r w:rsidRPr="00BB3883">
              <w:rPr>
                <w:rFonts w:cstheme="minorHAnsi"/>
                <w:bCs/>
              </w:rPr>
              <w:t>95 × 103/</w:t>
            </w:r>
            <w:proofErr w:type="spellStart"/>
            <w:r w:rsidRPr="00BB3883">
              <w:rPr>
                <w:rFonts w:cstheme="minorHAnsi"/>
                <w:bCs/>
              </w:rPr>
              <w:t>μL</w:t>
            </w:r>
            <w:proofErr w:type="spellEnd"/>
            <w:r w:rsidRPr="00BB3883">
              <w:rPr>
                <w:rFonts w:cstheme="minorHAnsi"/>
                <w:bCs/>
              </w:rPr>
              <w:t xml:space="preserve"> (95 × 109/L) </w:t>
            </w:r>
          </w:p>
        </w:tc>
      </w:tr>
      <w:tr w:rsidR="005D06BE" w:rsidRPr="00BB3883" w:rsidTr="000361A7">
        <w:trPr>
          <w:trHeight w:val="109"/>
          <w:jc w:val="center"/>
        </w:trPr>
        <w:tc>
          <w:tcPr>
            <w:tcW w:w="3003" w:type="dxa"/>
          </w:tcPr>
          <w:p w:rsidR="005D06BE" w:rsidRPr="00BB3883" w:rsidRDefault="005D06BE" w:rsidP="00BB3883">
            <w:pPr>
              <w:rPr>
                <w:rFonts w:cstheme="minorHAnsi"/>
                <w:bCs/>
              </w:rPr>
            </w:pPr>
            <w:r w:rsidRPr="00BB3883">
              <w:rPr>
                <w:rFonts w:cstheme="minorHAnsi"/>
                <w:bCs/>
              </w:rPr>
              <w:t xml:space="preserve">Reticulocyte count </w:t>
            </w:r>
          </w:p>
        </w:tc>
        <w:tc>
          <w:tcPr>
            <w:tcW w:w="3003" w:type="dxa"/>
          </w:tcPr>
          <w:p w:rsidR="005D06BE" w:rsidRPr="00BB3883" w:rsidRDefault="005D06BE" w:rsidP="00BB3883">
            <w:pPr>
              <w:rPr>
                <w:rFonts w:cstheme="minorHAnsi"/>
                <w:bCs/>
              </w:rPr>
            </w:pPr>
            <w:r w:rsidRPr="00BB3883">
              <w:rPr>
                <w:rFonts w:cstheme="minorHAnsi"/>
                <w:bCs/>
              </w:rPr>
              <w:t xml:space="preserve">35% </w:t>
            </w:r>
          </w:p>
        </w:tc>
      </w:tr>
    </w:tbl>
    <w:p w:rsidR="005D06BE" w:rsidRPr="00BB3883" w:rsidRDefault="005D06BE" w:rsidP="00BB3883">
      <w:pPr>
        <w:spacing w:after="0" w:line="240" w:lineRule="auto"/>
        <w:rPr>
          <w:rFonts w:cstheme="minorHAnsi"/>
          <w:bCs/>
        </w:rPr>
      </w:pPr>
      <w:r w:rsidRPr="00BB3883">
        <w:rPr>
          <w:rFonts w:cstheme="minorHAnsi"/>
          <w:bCs/>
        </w:rPr>
        <w:t>Of the following, the BEST next step in management is to</w:t>
      </w:r>
      <w:r w:rsidR="005D5219" w:rsidRPr="00BB3883">
        <w:rPr>
          <w:rFonts w:cstheme="minorHAnsi"/>
          <w:bCs/>
        </w:rPr>
        <w:t>:</w:t>
      </w:r>
      <w:r w:rsidRPr="00BB3883">
        <w:rPr>
          <w:rFonts w:cstheme="minorHAnsi"/>
          <w:bCs/>
        </w:rPr>
        <w:t xml:space="preserve"> </w:t>
      </w:r>
    </w:p>
    <w:p w:rsidR="005D06BE" w:rsidRPr="00BB3883" w:rsidRDefault="005D06BE" w:rsidP="00BB3883">
      <w:pPr>
        <w:spacing w:after="0" w:line="240" w:lineRule="auto"/>
        <w:ind w:left="720"/>
        <w:rPr>
          <w:rFonts w:cstheme="minorHAnsi"/>
          <w:bCs/>
        </w:rPr>
      </w:pPr>
      <w:r w:rsidRPr="00BB3883">
        <w:rPr>
          <w:rFonts w:cstheme="minorHAnsi"/>
          <w:bCs/>
        </w:rPr>
        <w:t xml:space="preserve">A. administer intravenous (IV) ceftriaxone </w:t>
      </w:r>
    </w:p>
    <w:p w:rsidR="005D06BE" w:rsidRPr="00BB3883" w:rsidRDefault="005D06BE" w:rsidP="00BB3883">
      <w:pPr>
        <w:spacing w:after="0" w:line="240" w:lineRule="auto"/>
        <w:ind w:left="720"/>
        <w:rPr>
          <w:rFonts w:cstheme="minorHAnsi"/>
          <w:bCs/>
        </w:rPr>
      </w:pPr>
      <w:r w:rsidRPr="00BB3883">
        <w:rPr>
          <w:rFonts w:cstheme="minorHAnsi"/>
          <w:bCs/>
        </w:rPr>
        <w:t xml:space="preserve">B. administer IV morphine </w:t>
      </w:r>
    </w:p>
    <w:p w:rsidR="005D06BE" w:rsidRPr="00BB3883" w:rsidRDefault="005D06BE" w:rsidP="00BB3883">
      <w:pPr>
        <w:spacing w:after="0" w:line="240" w:lineRule="auto"/>
        <w:ind w:left="720"/>
        <w:rPr>
          <w:rFonts w:cstheme="minorHAnsi"/>
          <w:bCs/>
        </w:rPr>
      </w:pPr>
      <w:r w:rsidRPr="00BB3883">
        <w:rPr>
          <w:rFonts w:cstheme="minorHAnsi"/>
          <w:bCs/>
        </w:rPr>
        <w:t xml:space="preserve">C. initiate therapy with hydroxyurea </w:t>
      </w:r>
    </w:p>
    <w:p w:rsidR="005D06BE" w:rsidRPr="00BB3883" w:rsidRDefault="005D06BE" w:rsidP="00BB3883">
      <w:pPr>
        <w:spacing w:after="0" w:line="240" w:lineRule="auto"/>
        <w:ind w:left="720"/>
        <w:rPr>
          <w:rFonts w:cstheme="minorHAnsi"/>
          <w:bCs/>
        </w:rPr>
      </w:pPr>
      <w:r w:rsidRPr="00BB3883">
        <w:rPr>
          <w:rFonts w:cstheme="minorHAnsi"/>
          <w:bCs/>
        </w:rPr>
        <w:t xml:space="preserve">D. administer IV normal saline </w:t>
      </w:r>
    </w:p>
    <w:p w:rsidR="005D06BE" w:rsidRPr="00BB3883" w:rsidRDefault="005D06BE" w:rsidP="00BB3883">
      <w:pPr>
        <w:spacing w:after="0" w:line="240" w:lineRule="auto"/>
        <w:ind w:left="720"/>
        <w:rPr>
          <w:rFonts w:cstheme="minorHAnsi"/>
          <w:bCs/>
        </w:rPr>
      </w:pPr>
      <w:r w:rsidRPr="00BB3883">
        <w:rPr>
          <w:rFonts w:cstheme="minorHAnsi"/>
          <w:bCs/>
        </w:rPr>
        <w:t>E. transfuse packed red blood cells</w:t>
      </w:r>
    </w:p>
    <w:p w:rsidR="005D06BE" w:rsidRPr="00BB3883" w:rsidRDefault="005D06BE" w:rsidP="00BB3883">
      <w:pPr>
        <w:pStyle w:val="NormalWeb"/>
        <w:spacing w:before="0" w:beforeAutospacing="0" w:after="0" w:afterAutospacing="0"/>
        <w:rPr>
          <w:rFonts w:asciiTheme="minorHAnsi" w:hAnsiTheme="minorHAnsi" w:cstheme="minorHAnsi"/>
          <w:color w:val="000000"/>
          <w:sz w:val="22"/>
          <w:szCs w:val="22"/>
        </w:rPr>
      </w:pPr>
    </w:p>
    <w:p w:rsidR="005D06BE" w:rsidRPr="00BB3883" w:rsidRDefault="005D06BE"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2</w:t>
      </w:r>
    </w:p>
    <w:p w:rsidR="005D06BE" w:rsidRPr="00BB3883" w:rsidRDefault="005D06BE" w:rsidP="00BB3883">
      <w:pPr>
        <w:spacing w:after="0" w:line="240" w:lineRule="auto"/>
        <w:rPr>
          <w:rFonts w:cstheme="minorHAnsi"/>
          <w:bCs/>
        </w:rPr>
      </w:pPr>
      <w:r w:rsidRPr="00BB3883">
        <w:rPr>
          <w:rFonts w:cstheme="minorHAnsi"/>
          <w:bCs/>
        </w:rPr>
        <w:t>An 18-year-old young man with hemoglobin SS disease presents to the emergency department with a 24-hour history of tactile fever and new-onset shaking chills. He had been previously well. His history is remarkable for 1 admission per year for sickle cell pain crises since he started hydroxyurea 5 years ago. On physical examination, the patient appears somewhat uncomfortable. His temperature is 39.9°C, heart rate is 96 beats/min, respiratory rate is 30 breaths/min, and blood pressure is 90/70 mm Hg. His examination is remarkable for a flow murmur on cardiac examination, but is otherwise normal. Of the following, based on his presentation, the patient’s MOST likely diagnosis is</w:t>
      </w:r>
      <w:r w:rsidR="005D5219" w:rsidRPr="00BB3883">
        <w:rPr>
          <w:rFonts w:cstheme="minorHAnsi"/>
          <w:bCs/>
        </w:rPr>
        <w:t>:</w:t>
      </w:r>
      <w:r w:rsidRPr="00BB3883">
        <w:rPr>
          <w:rFonts w:cstheme="minorHAnsi"/>
          <w:bCs/>
        </w:rPr>
        <w:t xml:space="preserve"> </w:t>
      </w:r>
    </w:p>
    <w:p w:rsidR="005D06BE" w:rsidRPr="00BB3883" w:rsidRDefault="005D06BE" w:rsidP="00BB3883">
      <w:pPr>
        <w:spacing w:after="0" w:line="240" w:lineRule="auto"/>
        <w:ind w:left="720"/>
        <w:rPr>
          <w:rFonts w:cstheme="minorHAnsi"/>
          <w:bCs/>
        </w:rPr>
      </w:pPr>
      <w:r w:rsidRPr="00BB3883">
        <w:rPr>
          <w:rFonts w:cstheme="minorHAnsi"/>
          <w:bCs/>
        </w:rPr>
        <w:t xml:space="preserve">A. acute chest syndrome </w:t>
      </w:r>
    </w:p>
    <w:p w:rsidR="005D06BE" w:rsidRPr="00BB3883" w:rsidRDefault="005D06BE" w:rsidP="00BB3883">
      <w:pPr>
        <w:spacing w:after="0" w:line="240" w:lineRule="auto"/>
        <w:ind w:left="720"/>
        <w:rPr>
          <w:rFonts w:cstheme="minorHAnsi"/>
          <w:bCs/>
        </w:rPr>
      </w:pPr>
      <w:r w:rsidRPr="00BB3883">
        <w:rPr>
          <w:rFonts w:cstheme="minorHAnsi"/>
          <w:bCs/>
        </w:rPr>
        <w:t xml:space="preserve">B. Escherichia coli sepsis </w:t>
      </w:r>
    </w:p>
    <w:p w:rsidR="005D06BE" w:rsidRPr="00BB3883" w:rsidRDefault="005D06BE" w:rsidP="00BB3883">
      <w:pPr>
        <w:spacing w:after="0" w:line="240" w:lineRule="auto"/>
        <w:ind w:left="720"/>
        <w:rPr>
          <w:rFonts w:cstheme="minorHAnsi"/>
          <w:bCs/>
        </w:rPr>
      </w:pPr>
      <w:r w:rsidRPr="00BB3883">
        <w:rPr>
          <w:rFonts w:cstheme="minorHAnsi"/>
          <w:bCs/>
        </w:rPr>
        <w:t xml:space="preserve">C. hydroxyurea toxicity </w:t>
      </w:r>
    </w:p>
    <w:p w:rsidR="005D06BE" w:rsidRPr="00BB3883" w:rsidRDefault="005D06BE" w:rsidP="00BB3883">
      <w:pPr>
        <w:spacing w:after="0" w:line="240" w:lineRule="auto"/>
        <w:ind w:left="720"/>
        <w:rPr>
          <w:rFonts w:cstheme="minorHAnsi"/>
          <w:bCs/>
        </w:rPr>
      </w:pPr>
      <w:r w:rsidRPr="00BB3883">
        <w:rPr>
          <w:rFonts w:cstheme="minorHAnsi"/>
          <w:bCs/>
        </w:rPr>
        <w:t xml:space="preserve">D. splenic sequestration crisis </w:t>
      </w:r>
    </w:p>
    <w:p w:rsidR="005D06BE" w:rsidRPr="00BB3883" w:rsidRDefault="005D06BE" w:rsidP="00BB3883">
      <w:pPr>
        <w:spacing w:after="0" w:line="240" w:lineRule="auto"/>
        <w:ind w:left="720"/>
        <w:rPr>
          <w:rFonts w:cstheme="minorHAnsi"/>
          <w:bCs/>
        </w:rPr>
      </w:pPr>
      <w:r w:rsidRPr="00BB3883">
        <w:rPr>
          <w:rFonts w:cstheme="minorHAnsi"/>
          <w:bCs/>
        </w:rPr>
        <w:t>E. Streptococcus pneumoniae sepsis</w:t>
      </w:r>
    </w:p>
    <w:p w:rsidR="005D06BE" w:rsidRPr="00BB3883" w:rsidRDefault="005D06BE" w:rsidP="00BB3883">
      <w:pPr>
        <w:spacing w:after="0" w:line="240" w:lineRule="auto"/>
        <w:rPr>
          <w:rFonts w:cstheme="minorHAnsi"/>
        </w:rPr>
      </w:pPr>
    </w:p>
    <w:p w:rsidR="005D06BE" w:rsidRPr="00BB3883" w:rsidRDefault="005D06BE"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3</w:t>
      </w:r>
    </w:p>
    <w:p w:rsidR="005D06BE" w:rsidRPr="00BB3883" w:rsidRDefault="005D06BE" w:rsidP="00BB3883">
      <w:pPr>
        <w:spacing w:after="0" w:line="240" w:lineRule="auto"/>
        <w:rPr>
          <w:rFonts w:cstheme="minorHAnsi"/>
        </w:rPr>
      </w:pPr>
      <w:r w:rsidRPr="00BB3883">
        <w:rPr>
          <w:rFonts w:cstheme="minorHAnsi"/>
        </w:rPr>
        <w:t>You are seeing a 2-year-old boy with hemoglobin SS disease for routine health care in your primary care practice. His mother is 7 months pregnant with the couple’s second child. They know that there is a risk that the newborn will also have sickle cell disease, but they declined prenatal diagnostic procedures because of the risk to the fetus. They ask how soon after birth the diagnosis of sickle cell disease can be made.</w:t>
      </w:r>
      <w:r w:rsidR="005D5219" w:rsidRPr="00BB3883">
        <w:rPr>
          <w:rFonts w:cstheme="minorHAnsi"/>
        </w:rPr>
        <w:t xml:space="preserve"> </w:t>
      </w:r>
      <w:r w:rsidRPr="00BB3883">
        <w:rPr>
          <w:rFonts w:cstheme="minorHAnsi"/>
        </w:rPr>
        <w:t>Of the following, the MOST appropriate answer to their question is</w:t>
      </w:r>
      <w:r w:rsidR="005D5219" w:rsidRPr="00BB3883">
        <w:rPr>
          <w:rFonts w:cstheme="minorHAnsi"/>
        </w:rPr>
        <w:t>:</w:t>
      </w:r>
    </w:p>
    <w:p w:rsidR="005D06BE" w:rsidRPr="00BB3883" w:rsidRDefault="00456561" w:rsidP="00BB3883">
      <w:pPr>
        <w:spacing w:after="0" w:line="240" w:lineRule="auto"/>
        <w:ind w:left="720"/>
        <w:rPr>
          <w:rFonts w:cstheme="minorHAnsi"/>
        </w:rPr>
      </w:pPr>
      <w:r w:rsidRPr="00BB3883">
        <w:rPr>
          <w:rFonts w:cstheme="minorHAnsi"/>
        </w:rPr>
        <w:t xml:space="preserve">A. </w:t>
      </w:r>
      <w:r w:rsidR="005D06BE" w:rsidRPr="00BB3883">
        <w:rPr>
          <w:rFonts w:cstheme="minorHAnsi"/>
        </w:rPr>
        <w:t>at birth</w:t>
      </w:r>
    </w:p>
    <w:p w:rsidR="005D06BE" w:rsidRPr="00BB3883" w:rsidRDefault="005D06BE" w:rsidP="00BB3883">
      <w:pPr>
        <w:spacing w:after="0" w:line="240" w:lineRule="auto"/>
        <w:ind w:left="720"/>
        <w:rPr>
          <w:rFonts w:cstheme="minorHAnsi"/>
        </w:rPr>
      </w:pPr>
      <w:r w:rsidRPr="00BB3883">
        <w:rPr>
          <w:rFonts w:cstheme="minorHAnsi"/>
        </w:rPr>
        <w:t>B.</w:t>
      </w:r>
      <w:r w:rsidR="00456561" w:rsidRPr="00BB3883">
        <w:rPr>
          <w:rFonts w:cstheme="minorHAnsi"/>
        </w:rPr>
        <w:t xml:space="preserve"> </w:t>
      </w:r>
      <w:r w:rsidRPr="00BB3883">
        <w:rPr>
          <w:rFonts w:cstheme="minorHAnsi"/>
        </w:rPr>
        <w:t>by 1 month of age</w:t>
      </w:r>
    </w:p>
    <w:p w:rsidR="005D06BE" w:rsidRPr="00BB3883" w:rsidRDefault="005D06BE" w:rsidP="00BB3883">
      <w:pPr>
        <w:spacing w:after="0" w:line="240" w:lineRule="auto"/>
        <w:ind w:left="720"/>
        <w:rPr>
          <w:rFonts w:cstheme="minorHAnsi"/>
        </w:rPr>
      </w:pPr>
      <w:r w:rsidRPr="00BB3883">
        <w:rPr>
          <w:rFonts w:cstheme="minorHAnsi"/>
        </w:rPr>
        <w:t>C.</w:t>
      </w:r>
      <w:r w:rsidR="00456561" w:rsidRPr="00BB3883">
        <w:rPr>
          <w:rFonts w:cstheme="minorHAnsi"/>
        </w:rPr>
        <w:t xml:space="preserve"> </w:t>
      </w:r>
      <w:r w:rsidRPr="00BB3883">
        <w:rPr>
          <w:rFonts w:cstheme="minorHAnsi"/>
        </w:rPr>
        <w:t>by 3 months of age</w:t>
      </w:r>
    </w:p>
    <w:p w:rsidR="005D06BE" w:rsidRPr="00BB3883" w:rsidRDefault="005D06BE" w:rsidP="00BB3883">
      <w:pPr>
        <w:spacing w:after="0" w:line="240" w:lineRule="auto"/>
        <w:ind w:left="720"/>
        <w:rPr>
          <w:rFonts w:cstheme="minorHAnsi"/>
        </w:rPr>
      </w:pPr>
      <w:r w:rsidRPr="00BB3883">
        <w:rPr>
          <w:rFonts w:cstheme="minorHAnsi"/>
        </w:rPr>
        <w:t>D.</w:t>
      </w:r>
      <w:r w:rsidR="00456561" w:rsidRPr="00BB3883">
        <w:rPr>
          <w:rFonts w:cstheme="minorHAnsi"/>
        </w:rPr>
        <w:t xml:space="preserve"> </w:t>
      </w:r>
      <w:r w:rsidRPr="00BB3883">
        <w:rPr>
          <w:rFonts w:cstheme="minorHAnsi"/>
        </w:rPr>
        <w:t>by 6 months of age</w:t>
      </w:r>
    </w:p>
    <w:p w:rsidR="005D06BE" w:rsidRPr="00BB3883" w:rsidRDefault="005D06BE" w:rsidP="00BB3883">
      <w:pPr>
        <w:spacing w:after="0" w:line="240" w:lineRule="auto"/>
        <w:ind w:left="720"/>
        <w:rPr>
          <w:rFonts w:cstheme="minorHAnsi"/>
        </w:rPr>
      </w:pPr>
      <w:r w:rsidRPr="00BB3883">
        <w:rPr>
          <w:rFonts w:cstheme="minorHAnsi"/>
        </w:rPr>
        <w:t>E.</w:t>
      </w:r>
      <w:r w:rsidR="00456561" w:rsidRPr="00BB3883">
        <w:rPr>
          <w:rFonts w:cstheme="minorHAnsi"/>
        </w:rPr>
        <w:t xml:space="preserve"> </w:t>
      </w:r>
      <w:r w:rsidRPr="00BB3883">
        <w:rPr>
          <w:rFonts w:cstheme="minorHAnsi"/>
        </w:rPr>
        <w:t>by 12 months of age</w:t>
      </w:r>
    </w:p>
    <w:p w:rsidR="000379E8" w:rsidRPr="00BB3883" w:rsidRDefault="000379E8" w:rsidP="00BB3883">
      <w:pPr>
        <w:spacing w:after="0" w:line="240" w:lineRule="auto"/>
        <w:rPr>
          <w:rFonts w:cstheme="minorHAnsi"/>
        </w:rPr>
      </w:pPr>
    </w:p>
    <w:p w:rsidR="005D06BE" w:rsidRPr="00BB3883" w:rsidRDefault="0080408F"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4</w:t>
      </w:r>
    </w:p>
    <w:p w:rsidR="0080408F" w:rsidRPr="00BB3883" w:rsidRDefault="0080408F" w:rsidP="00BB3883">
      <w:pPr>
        <w:spacing w:after="0" w:line="240" w:lineRule="auto"/>
        <w:rPr>
          <w:rFonts w:cstheme="minorHAnsi"/>
        </w:rPr>
      </w:pPr>
      <w:r w:rsidRPr="00BB3883">
        <w:rPr>
          <w:rFonts w:cstheme="minorHAnsi"/>
        </w:rPr>
        <w:t>A 2-month-old female infant is seen for a health supervision visit. She was diagnosed with sickle cell disease through newborn screening, followed by confirmatory testing by a hematologist at 3 weeks of age. Prophylactic penicillin was begun at the hematology visit. She is feeding and voiding well. Her mother does not have any concerns at today's visit. The infant has a temperature of 37.1°C, weight of 5.4 kg (75th percentile), length of 55 cm (25th percentile), and occipitofrontal circumference of 38.5 cm (50%). The spleen is not palpable. The remainder of the examination findings are unremarkable.</w:t>
      </w:r>
      <w:r w:rsidR="005D5219" w:rsidRPr="00BB3883">
        <w:rPr>
          <w:rFonts w:cstheme="minorHAnsi"/>
        </w:rPr>
        <w:t xml:space="preserve"> </w:t>
      </w:r>
      <w:r w:rsidRPr="00BB3883">
        <w:rPr>
          <w:rFonts w:cstheme="minorHAnsi"/>
        </w:rPr>
        <w:t>In addition to routine immunizations, the BEST plan for meningococcal vaccination in this patient is</w:t>
      </w:r>
      <w:r w:rsidR="005D5219" w:rsidRPr="00BB3883">
        <w:rPr>
          <w:rFonts w:cstheme="minorHAnsi"/>
        </w:rPr>
        <w:t>:</w:t>
      </w:r>
    </w:p>
    <w:p w:rsidR="0080408F" w:rsidRPr="00BB3883" w:rsidRDefault="00456561" w:rsidP="00BB3883">
      <w:pPr>
        <w:spacing w:after="0" w:line="240" w:lineRule="auto"/>
        <w:ind w:left="720"/>
        <w:rPr>
          <w:rFonts w:cstheme="minorHAnsi"/>
        </w:rPr>
      </w:pPr>
      <w:r w:rsidRPr="00BB3883">
        <w:rPr>
          <w:rFonts w:cstheme="minorHAnsi"/>
        </w:rPr>
        <w:t xml:space="preserve">A. </w:t>
      </w:r>
      <w:r w:rsidR="0080408F" w:rsidRPr="00BB3883">
        <w:rPr>
          <w:rFonts w:cstheme="minorHAnsi"/>
        </w:rPr>
        <w:t>conjugate vaccine at 11 years of age</w:t>
      </w:r>
    </w:p>
    <w:p w:rsidR="0080408F" w:rsidRPr="00BB3883" w:rsidRDefault="0080408F" w:rsidP="00BB3883">
      <w:pPr>
        <w:spacing w:after="0" w:line="240" w:lineRule="auto"/>
        <w:ind w:left="720"/>
        <w:rPr>
          <w:rFonts w:cstheme="minorHAnsi"/>
        </w:rPr>
      </w:pPr>
      <w:r w:rsidRPr="00BB3883">
        <w:rPr>
          <w:rFonts w:cstheme="minorHAnsi"/>
        </w:rPr>
        <w:lastRenderedPageBreak/>
        <w:t>B.</w:t>
      </w:r>
      <w:r w:rsidR="00456561" w:rsidRPr="00BB3883">
        <w:rPr>
          <w:rFonts w:cstheme="minorHAnsi"/>
        </w:rPr>
        <w:t xml:space="preserve"> </w:t>
      </w:r>
      <w:r w:rsidRPr="00BB3883">
        <w:rPr>
          <w:rFonts w:cstheme="minorHAnsi"/>
        </w:rPr>
        <w:t>conjugate vaccine today</w:t>
      </w:r>
    </w:p>
    <w:p w:rsidR="0080408F" w:rsidRPr="00BB3883" w:rsidRDefault="0080408F" w:rsidP="00BB3883">
      <w:pPr>
        <w:spacing w:after="0" w:line="240" w:lineRule="auto"/>
        <w:ind w:left="720"/>
        <w:rPr>
          <w:rFonts w:cstheme="minorHAnsi"/>
        </w:rPr>
      </w:pPr>
      <w:r w:rsidRPr="00BB3883">
        <w:rPr>
          <w:rFonts w:cstheme="minorHAnsi"/>
        </w:rPr>
        <w:t>C.</w:t>
      </w:r>
      <w:r w:rsidR="00456561" w:rsidRPr="00BB3883">
        <w:rPr>
          <w:rFonts w:cstheme="minorHAnsi"/>
        </w:rPr>
        <w:t xml:space="preserve"> </w:t>
      </w:r>
      <w:r w:rsidRPr="00BB3883">
        <w:rPr>
          <w:rFonts w:cstheme="minorHAnsi"/>
        </w:rPr>
        <w:t>serogroup B vaccine at 2 years of age</w:t>
      </w:r>
    </w:p>
    <w:p w:rsidR="0080408F" w:rsidRPr="00BB3883" w:rsidRDefault="0080408F" w:rsidP="00BB3883">
      <w:pPr>
        <w:spacing w:after="0" w:line="240" w:lineRule="auto"/>
        <w:ind w:left="720"/>
        <w:rPr>
          <w:rFonts w:cstheme="minorHAnsi"/>
        </w:rPr>
      </w:pPr>
      <w:r w:rsidRPr="00BB3883">
        <w:rPr>
          <w:rFonts w:cstheme="minorHAnsi"/>
        </w:rPr>
        <w:t>D.</w:t>
      </w:r>
      <w:r w:rsidR="00456561" w:rsidRPr="00BB3883">
        <w:rPr>
          <w:rFonts w:cstheme="minorHAnsi"/>
        </w:rPr>
        <w:t xml:space="preserve"> </w:t>
      </w:r>
      <w:r w:rsidRPr="00BB3883">
        <w:rPr>
          <w:rFonts w:cstheme="minorHAnsi"/>
        </w:rPr>
        <w:t>serogroup B vaccine today</w:t>
      </w:r>
    </w:p>
    <w:p w:rsidR="0080408F" w:rsidRPr="00BB3883" w:rsidRDefault="0080408F" w:rsidP="00BB3883">
      <w:pPr>
        <w:spacing w:after="0" w:line="240" w:lineRule="auto"/>
        <w:rPr>
          <w:rFonts w:cstheme="minorHAnsi"/>
        </w:rPr>
      </w:pPr>
    </w:p>
    <w:p w:rsidR="0080408F" w:rsidRPr="00BB3883" w:rsidRDefault="0080408F"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5</w:t>
      </w:r>
    </w:p>
    <w:p w:rsidR="0080408F" w:rsidRPr="00BB3883" w:rsidRDefault="0080408F" w:rsidP="00BB3883">
      <w:pPr>
        <w:spacing w:after="0" w:line="240" w:lineRule="auto"/>
        <w:rPr>
          <w:rFonts w:cstheme="minorHAnsi"/>
        </w:rPr>
      </w:pPr>
      <w:r w:rsidRPr="00BB3883">
        <w:rPr>
          <w:rFonts w:cstheme="minorHAnsi"/>
        </w:rPr>
        <w:t>An 18-month-old boy with sickle cell disease (SS genotype) is brought to the emergency department by his parents because he has been "too sleepy." He was well until 1 day ago when he developed upper respiratory tract symptoms. Over the last 12 hours, he has become more lethargic and less responsive.</w:t>
      </w:r>
      <w:r w:rsidR="00617CA6" w:rsidRPr="00BB3883">
        <w:rPr>
          <w:rFonts w:cstheme="minorHAnsi"/>
        </w:rPr>
        <w:t xml:space="preserve"> </w:t>
      </w:r>
      <w:r w:rsidRPr="00BB3883">
        <w:rPr>
          <w:rFonts w:cstheme="minorHAnsi"/>
        </w:rPr>
        <w:t>He has a temperature of 37°C, heart rate of 150 beats/min, blood pressure of 96/72 mm Hg, respiratory rate of 32 breaths/min, and oxygen saturation of 94% on room air. He is lying in his mother’s arms quietly with his eyes open and in moderate distress. He is pale. His lungs are clear to auscultation bilaterally, he is tachycardic, but with a regular rhythm. His abdomen is soft, and his spleen is palpable to 3 cm below the umbilicus. His extremities are warm and well perfused.</w:t>
      </w:r>
      <w:r w:rsidR="005D5219" w:rsidRPr="00BB3883">
        <w:rPr>
          <w:rFonts w:cstheme="minorHAnsi"/>
        </w:rPr>
        <w:t xml:space="preserve"> </w:t>
      </w:r>
      <w:r w:rsidRPr="00BB3883">
        <w:rPr>
          <w:rFonts w:cstheme="minorHAnsi"/>
        </w:rPr>
        <w:t>Laboratory data are shown:</w:t>
      </w:r>
    </w:p>
    <w:tbl>
      <w:tblPr>
        <w:tblW w:w="47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8"/>
        <w:gridCol w:w="2520"/>
      </w:tblGrid>
      <w:tr w:rsidR="0080408F" w:rsidRPr="00BB3883" w:rsidTr="000361A7">
        <w:trPr>
          <w:jc w:val="center"/>
        </w:trPr>
        <w:tc>
          <w:tcPr>
            <w:tcW w:w="2258"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b/>
                <w:bCs/>
              </w:rPr>
              <w:t> Laboratory Test</w:t>
            </w:r>
          </w:p>
        </w:tc>
        <w:tc>
          <w:tcPr>
            <w:tcW w:w="2520"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b/>
                <w:bCs/>
              </w:rPr>
              <w:t> Result</w:t>
            </w:r>
          </w:p>
        </w:tc>
      </w:tr>
      <w:tr w:rsidR="0080408F" w:rsidRPr="00BB3883" w:rsidTr="000361A7">
        <w:trPr>
          <w:jc w:val="center"/>
        </w:trPr>
        <w:tc>
          <w:tcPr>
            <w:tcW w:w="2258"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White blood cell count</w:t>
            </w:r>
          </w:p>
        </w:tc>
        <w:tc>
          <w:tcPr>
            <w:tcW w:w="2520"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12,100/µL (12.1 × 10</w:t>
            </w:r>
            <w:r w:rsidRPr="00BB3883">
              <w:rPr>
                <w:rFonts w:cstheme="minorHAnsi"/>
                <w:vertAlign w:val="superscript"/>
              </w:rPr>
              <w:t>9</w:t>
            </w:r>
            <w:r w:rsidRPr="00BB3883">
              <w:rPr>
                <w:rFonts w:cstheme="minorHAnsi"/>
              </w:rPr>
              <w:t>/L)</w:t>
            </w:r>
          </w:p>
        </w:tc>
      </w:tr>
      <w:tr w:rsidR="0080408F" w:rsidRPr="00BB3883" w:rsidTr="000361A7">
        <w:trPr>
          <w:jc w:val="center"/>
        </w:trPr>
        <w:tc>
          <w:tcPr>
            <w:tcW w:w="2258"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Hemoglobin</w:t>
            </w:r>
          </w:p>
        </w:tc>
        <w:tc>
          <w:tcPr>
            <w:tcW w:w="2520"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4.1 g/dL (41 g/L)</w:t>
            </w:r>
          </w:p>
        </w:tc>
      </w:tr>
      <w:tr w:rsidR="0080408F" w:rsidRPr="00BB3883" w:rsidTr="000361A7">
        <w:trPr>
          <w:jc w:val="center"/>
        </w:trPr>
        <w:tc>
          <w:tcPr>
            <w:tcW w:w="2258"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Platelets</w:t>
            </w:r>
          </w:p>
        </w:tc>
        <w:tc>
          <w:tcPr>
            <w:tcW w:w="2520"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99 × 10</w:t>
            </w:r>
            <w:r w:rsidRPr="00BB3883">
              <w:rPr>
                <w:rFonts w:cstheme="minorHAnsi"/>
                <w:vertAlign w:val="superscript"/>
              </w:rPr>
              <w:t>3</w:t>
            </w:r>
            <w:r w:rsidRPr="00BB3883">
              <w:rPr>
                <w:rFonts w:cstheme="minorHAnsi"/>
              </w:rPr>
              <w:t>/µL (99 × 10</w:t>
            </w:r>
            <w:r w:rsidRPr="00BB3883">
              <w:rPr>
                <w:rFonts w:cstheme="minorHAnsi"/>
                <w:vertAlign w:val="superscript"/>
              </w:rPr>
              <w:t>9</w:t>
            </w:r>
            <w:r w:rsidRPr="00BB3883">
              <w:rPr>
                <w:rFonts w:cstheme="minorHAnsi"/>
              </w:rPr>
              <w:t>/L)</w:t>
            </w:r>
          </w:p>
        </w:tc>
      </w:tr>
      <w:tr w:rsidR="0080408F" w:rsidRPr="00BB3883" w:rsidTr="000361A7">
        <w:trPr>
          <w:jc w:val="center"/>
        </w:trPr>
        <w:tc>
          <w:tcPr>
            <w:tcW w:w="2258"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Reticulocytes</w:t>
            </w:r>
          </w:p>
        </w:tc>
        <w:tc>
          <w:tcPr>
            <w:tcW w:w="2520" w:type="dxa"/>
            <w:tcBorders>
              <w:top w:val="outset" w:sz="6" w:space="0" w:color="auto"/>
              <w:left w:val="outset" w:sz="6" w:space="0" w:color="auto"/>
              <w:bottom w:val="outset" w:sz="6" w:space="0" w:color="auto"/>
              <w:right w:val="outset" w:sz="6" w:space="0" w:color="auto"/>
            </w:tcBorders>
            <w:hideMark/>
          </w:tcPr>
          <w:p w:rsidR="0080408F" w:rsidRPr="00BB3883" w:rsidRDefault="0080408F" w:rsidP="00BB3883">
            <w:pPr>
              <w:spacing w:after="0" w:line="240" w:lineRule="auto"/>
              <w:rPr>
                <w:rFonts w:cstheme="minorHAnsi"/>
              </w:rPr>
            </w:pPr>
            <w:r w:rsidRPr="00BB3883">
              <w:rPr>
                <w:rFonts w:cstheme="minorHAnsi"/>
              </w:rPr>
              <w:t> 25.6%</w:t>
            </w:r>
          </w:p>
        </w:tc>
      </w:tr>
    </w:tbl>
    <w:p w:rsidR="0080408F" w:rsidRPr="00BB3883" w:rsidRDefault="0080408F" w:rsidP="00BB3883">
      <w:pPr>
        <w:spacing w:after="0" w:line="240" w:lineRule="auto"/>
        <w:rPr>
          <w:rFonts w:cstheme="minorHAnsi"/>
        </w:rPr>
      </w:pPr>
      <w:r w:rsidRPr="00BB3883">
        <w:rPr>
          <w:rFonts w:cstheme="minorHAnsi"/>
        </w:rPr>
        <w:t>Of the following, the intervention MOST likely to result in clinical improvement is</w:t>
      </w:r>
      <w:r w:rsidR="005D5219" w:rsidRPr="00BB3883">
        <w:rPr>
          <w:rFonts w:cstheme="minorHAnsi"/>
        </w:rPr>
        <w:t>:</w:t>
      </w:r>
    </w:p>
    <w:p w:rsidR="0080408F" w:rsidRPr="00BB3883" w:rsidRDefault="0080408F" w:rsidP="00BB3883">
      <w:pPr>
        <w:spacing w:after="0" w:line="240" w:lineRule="auto"/>
        <w:ind w:left="720"/>
        <w:rPr>
          <w:rFonts w:cstheme="minorHAnsi"/>
        </w:rPr>
      </w:pPr>
      <w:r w:rsidRPr="00BB3883">
        <w:rPr>
          <w:rFonts w:cstheme="minorHAnsi"/>
        </w:rPr>
        <w:t>A.</w:t>
      </w:r>
      <w:r w:rsidR="00456561" w:rsidRPr="00BB3883">
        <w:rPr>
          <w:rFonts w:cstheme="minorHAnsi"/>
        </w:rPr>
        <w:t xml:space="preserve"> </w:t>
      </w:r>
      <w:r w:rsidRPr="00BB3883">
        <w:rPr>
          <w:rFonts w:cstheme="minorHAnsi"/>
        </w:rPr>
        <w:t>infusion of a 20-mL/kg normal saline bolus</w:t>
      </w:r>
    </w:p>
    <w:p w:rsidR="0080408F" w:rsidRPr="00BB3883" w:rsidRDefault="0080408F" w:rsidP="00BB3883">
      <w:pPr>
        <w:spacing w:after="0" w:line="240" w:lineRule="auto"/>
        <w:ind w:left="720"/>
        <w:rPr>
          <w:rFonts w:cstheme="minorHAnsi"/>
        </w:rPr>
      </w:pPr>
      <w:r w:rsidRPr="00BB3883">
        <w:rPr>
          <w:rFonts w:cstheme="minorHAnsi"/>
        </w:rPr>
        <w:t>B.</w:t>
      </w:r>
      <w:r w:rsidR="00456561" w:rsidRPr="00BB3883">
        <w:rPr>
          <w:rFonts w:cstheme="minorHAnsi"/>
        </w:rPr>
        <w:t xml:space="preserve"> </w:t>
      </w:r>
      <w:r w:rsidRPr="00BB3883">
        <w:rPr>
          <w:rFonts w:cstheme="minorHAnsi"/>
        </w:rPr>
        <w:t>initiation of ceftriaxone and vancomycin</w:t>
      </w:r>
    </w:p>
    <w:p w:rsidR="0080408F" w:rsidRPr="00BB3883" w:rsidRDefault="0080408F" w:rsidP="00BB3883">
      <w:pPr>
        <w:spacing w:after="0" w:line="240" w:lineRule="auto"/>
        <w:ind w:left="720"/>
        <w:rPr>
          <w:rFonts w:cstheme="minorHAnsi"/>
        </w:rPr>
      </w:pPr>
      <w:r w:rsidRPr="00BB3883">
        <w:rPr>
          <w:rFonts w:cstheme="minorHAnsi"/>
        </w:rPr>
        <w:t>C.</w:t>
      </w:r>
      <w:r w:rsidR="00456561" w:rsidRPr="00BB3883">
        <w:rPr>
          <w:rFonts w:cstheme="minorHAnsi"/>
        </w:rPr>
        <w:t xml:space="preserve"> </w:t>
      </w:r>
      <w:r w:rsidRPr="00BB3883">
        <w:rPr>
          <w:rFonts w:cstheme="minorHAnsi"/>
        </w:rPr>
        <w:t>initiation of continuous positive airway pressure</w:t>
      </w:r>
    </w:p>
    <w:p w:rsidR="0080408F" w:rsidRPr="00BB3883" w:rsidRDefault="0080408F" w:rsidP="00BB3883">
      <w:pPr>
        <w:spacing w:after="0" w:line="240" w:lineRule="auto"/>
        <w:ind w:left="720"/>
        <w:rPr>
          <w:rFonts w:cstheme="minorHAnsi"/>
        </w:rPr>
      </w:pPr>
      <w:r w:rsidRPr="00BB3883">
        <w:rPr>
          <w:rFonts w:cstheme="minorHAnsi"/>
        </w:rPr>
        <w:t>D.</w:t>
      </w:r>
      <w:r w:rsidR="00456561" w:rsidRPr="00BB3883">
        <w:rPr>
          <w:rFonts w:cstheme="minorHAnsi"/>
        </w:rPr>
        <w:t xml:space="preserve"> </w:t>
      </w:r>
      <w:r w:rsidRPr="00BB3883">
        <w:rPr>
          <w:rFonts w:cstheme="minorHAnsi"/>
        </w:rPr>
        <w:t>transfusion of 5 mL/kg packed red blood cells</w:t>
      </w:r>
    </w:p>
    <w:p w:rsidR="005D06BE" w:rsidRPr="00BB3883" w:rsidRDefault="005D06BE" w:rsidP="00BB3883">
      <w:pPr>
        <w:spacing w:after="0" w:line="240" w:lineRule="auto"/>
        <w:rPr>
          <w:rFonts w:cstheme="minorHAnsi"/>
        </w:rPr>
      </w:pPr>
    </w:p>
    <w:p w:rsidR="0080408F" w:rsidRPr="00BB3883" w:rsidRDefault="0080408F"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6</w:t>
      </w:r>
    </w:p>
    <w:p w:rsidR="0080408F" w:rsidRPr="00BB3883" w:rsidRDefault="0080408F" w:rsidP="00BB3883">
      <w:pPr>
        <w:spacing w:after="0" w:line="240" w:lineRule="auto"/>
        <w:rPr>
          <w:rFonts w:cstheme="minorHAnsi"/>
        </w:rPr>
      </w:pPr>
      <w:r w:rsidRPr="00BB3883">
        <w:rPr>
          <w:rFonts w:cstheme="minorHAnsi"/>
        </w:rPr>
        <w:t>A 10-year-old African American boy with sickle cell anemia is admitted to the hospital for intravenous fluids and pain control because of dehydration and acute pain crisis. After 12 hours in the hospital he is found to be acutely unresponsive. Naloxone is administered with no change in his clinical status, and he is emergently transferred to the pediatric intensive care unit.</w:t>
      </w:r>
      <w:r w:rsidR="005D5219" w:rsidRPr="00BB3883">
        <w:rPr>
          <w:rFonts w:cstheme="minorHAnsi"/>
        </w:rPr>
        <w:t xml:space="preserve"> </w:t>
      </w:r>
      <w:r w:rsidRPr="00BB3883">
        <w:rPr>
          <w:rFonts w:cstheme="minorHAnsi"/>
        </w:rPr>
        <w:t xml:space="preserve">He has a temperature of 38.1°C, heart rate of 160 beats/min, respiratory rate of 16 breaths/min, and blood pressure of 60/30 mm Hg. His physical examination is notable for a rigid neck, tacky mucous membranes, and tachycardia with a flow murmur. His lungs are clear. He is obtunded and groans to painful stimuli without localizing it. His pupils are equal, round, and reactive to light, with intact extraocular movements and symmetric facies. He moves all extremities equally to noxious stimuli. Deep tendon reflexes are 2+ throughout with toes </w:t>
      </w:r>
      <w:proofErr w:type="spellStart"/>
      <w:r w:rsidRPr="00BB3883">
        <w:rPr>
          <w:rFonts w:cstheme="minorHAnsi"/>
        </w:rPr>
        <w:t>downgoing</w:t>
      </w:r>
      <w:proofErr w:type="spellEnd"/>
      <w:r w:rsidRPr="00BB3883">
        <w:rPr>
          <w:rFonts w:cstheme="minorHAnsi"/>
        </w:rPr>
        <w:t xml:space="preserve"> to plantar stimulation.</w:t>
      </w:r>
      <w:r w:rsidR="005D5219" w:rsidRPr="00BB3883">
        <w:rPr>
          <w:rFonts w:cstheme="minorHAnsi"/>
        </w:rPr>
        <w:t xml:space="preserve"> </w:t>
      </w:r>
      <w:r w:rsidRPr="00BB3883">
        <w:rPr>
          <w:rFonts w:cstheme="minorHAnsi"/>
        </w:rPr>
        <w:t xml:space="preserve">Because of his deteriorating condition, he is intubated for airway protection, begun on fluid resuscitation, and placed on broad-spectrum antibiotics after obtaining blood cultures. </w:t>
      </w:r>
      <w:proofErr w:type="spellStart"/>
      <w:r w:rsidRPr="00BB3883">
        <w:rPr>
          <w:rFonts w:cstheme="minorHAnsi"/>
        </w:rPr>
        <w:t>Noncontrast</w:t>
      </w:r>
      <w:proofErr w:type="spellEnd"/>
      <w:r w:rsidRPr="00BB3883">
        <w:rPr>
          <w:rFonts w:cstheme="minorHAnsi"/>
        </w:rPr>
        <w:t xml:space="preserve"> computed tomography of the head performed as part of a stroke evaluation has normal results. Lumbar puncture is performed with an opening pressure of 61 cm H</w:t>
      </w:r>
      <w:r w:rsidRPr="00BB3883">
        <w:rPr>
          <w:rFonts w:cstheme="minorHAnsi"/>
          <w:vertAlign w:val="subscript"/>
        </w:rPr>
        <w:t>2</w:t>
      </w:r>
      <w:r w:rsidRPr="00BB3883">
        <w:rPr>
          <w:rFonts w:cstheme="minorHAnsi"/>
        </w:rPr>
        <w:t>O. The cerebrospinal fluid is cloudy, and laboratory data from its analysis are shown:</w:t>
      </w:r>
    </w:p>
    <w:tbl>
      <w:tblPr>
        <w:tblW w:w="0" w:type="auto"/>
        <w:jc w:val="center"/>
        <w:tblBorders>
          <w:top w:val="single" w:sz="6" w:space="0" w:color="000000"/>
          <w:left w:val="single" w:sz="6" w:space="0" w:color="000000"/>
        </w:tblBorders>
        <w:tblCellMar>
          <w:top w:w="29" w:type="dxa"/>
          <w:left w:w="29" w:type="dxa"/>
          <w:bottom w:w="29" w:type="dxa"/>
          <w:right w:w="29" w:type="dxa"/>
        </w:tblCellMar>
        <w:tblLook w:val="04A0" w:firstRow="1" w:lastRow="0" w:firstColumn="1" w:lastColumn="0" w:noHBand="0" w:noVBand="1"/>
      </w:tblPr>
      <w:tblGrid>
        <w:gridCol w:w="2189"/>
        <w:gridCol w:w="2250"/>
      </w:tblGrid>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b/>
                <w:bCs/>
              </w:rPr>
              <w:t>Laboratory Test</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b/>
                <w:bCs/>
              </w:rPr>
              <w:t>Result</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White blood cell count</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1,300/µL</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Neutrophils</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70%</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Lymphocytes</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25%</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Monocytes</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5%</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Red blood cell count</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0/µL</w:t>
            </w:r>
          </w:p>
        </w:tc>
      </w:tr>
      <w:tr w:rsidR="0080408F" w:rsidRPr="00BB3883" w:rsidTr="000361A7">
        <w:trPr>
          <w:trHeight w:hRule="exact" w:val="288"/>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Protein</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145 mg/dL</w:t>
            </w:r>
          </w:p>
        </w:tc>
      </w:tr>
      <w:tr w:rsidR="0080408F" w:rsidRPr="00BB3883" w:rsidTr="000361A7">
        <w:trPr>
          <w:trHeight w:hRule="exact" w:val="380"/>
          <w:jc w:val="center"/>
        </w:trPr>
        <w:tc>
          <w:tcPr>
            <w:tcW w:w="2189"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Glucose</w:t>
            </w:r>
          </w:p>
        </w:tc>
        <w:tc>
          <w:tcPr>
            <w:tcW w:w="2250" w:type="dxa"/>
            <w:tcBorders>
              <w:bottom w:val="single" w:sz="6" w:space="0" w:color="000000"/>
              <w:right w:val="single" w:sz="6" w:space="0" w:color="000000"/>
            </w:tcBorders>
            <w:vAlign w:val="center"/>
            <w:hideMark/>
          </w:tcPr>
          <w:p w:rsidR="0080408F" w:rsidRPr="00BB3883" w:rsidRDefault="0080408F" w:rsidP="00BB3883">
            <w:pPr>
              <w:spacing w:after="0" w:line="240" w:lineRule="auto"/>
              <w:rPr>
                <w:rFonts w:cstheme="minorHAnsi"/>
              </w:rPr>
            </w:pPr>
            <w:r w:rsidRPr="00BB3883">
              <w:rPr>
                <w:rFonts w:cstheme="minorHAnsi"/>
              </w:rPr>
              <w:t>10 mg/dL (0.6 mmol/L)</w:t>
            </w:r>
          </w:p>
        </w:tc>
      </w:tr>
    </w:tbl>
    <w:p w:rsidR="0080408F" w:rsidRPr="00BB3883" w:rsidRDefault="0080408F" w:rsidP="00BB3883">
      <w:pPr>
        <w:spacing w:after="0" w:line="240" w:lineRule="auto"/>
        <w:rPr>
          <w:rFonts w:cstheme="minorHAnsi"/>
        </w:rPr>
      </w:pPr>
      <w:r w:rsidRPr="00BB3883">
        <w:rPr>
          <w:rFonts w:cstheme="minorHAnsi"/>
        </w:rPr>
        <w:t>Of the following, the MOST likely cause of this child’s meningitis is</w:t>
      </w:r>
      <w:r w:rsidR="005D5219" w:rsidRPr="00BB3883">
        <w:rPr>
          <w:rFonts w:cstheme="minorHAnsi"/>
        </w:rPr>
        <w:t>:</w:t>
      </w:r>
    </w:p>
    <w:p w:rsidR="0080408F" w:rsidRPr="00BB3883" w:rsidRDefault="00456561" w:rsidP="00BB3883">
      <w:pPr>
        <w:spacing w:after="0" w:line="240" w:lineRule="auto"/>
        <w:ind w:left="720"/>
        <w:rPr>
          <w:rFonts w:cstheme="minorHAnsi"/>
        </w:rPr>
      </w:pPr>
      <w:r w:rsidRPr="00BB3883">
        <w:rPr>
          <w:rFonts w:cstheme="minorHAnsi"/>
        </w:rPr>
        <w:t xml:space="preserve">A. </w:t>
      </w:r>
      <w:proofErr w:type="spellStart"/>
      <w:r w:rsidR="0080408F" w:rsidRPr="00BB3883">
        <w:rPr>
          <w:rFonts w:cstheme="minorHAnsi"/>
        </w:rPr>
        <w:t>Haemophilus</w:t>
      </w:r>
      <w:proofErr w:type="spellEnd"/>
      <w:r w:rsidR="0080408F" w:rsidRPr="00BB3883">
        <w:rPr>
          <w:rFonts w:cstheme="minorHAnsi"/>
        </w:rPr>
        <w:t xml:space="preserve"> influenza</w:t>
      </w:r>
    </w:p>
    <w:p w:rsidR="0080408F" w:rsidRPr="00BB3883" w:rsidRDefault="00456561" w:rsidP="00BB3883">
      <w:pPr>
        <w:spacing w:after="0" w:line="240" w:lineRule="auto"/>
        <w:ind w:left="720"/>
        <w:rPr>
          <w:rFonts w:cstheme="minorHAnsi"/>
        </w:rPr>
      </w:pPr>
      <w:r w:rsidRPr="00BB3883">
        <w:rPr>
          <w:rFonts w:cstheme="minorHAnsi"/>
        </w:rPr>
        <w:t xml:space="preserve">B. </w:t>
      </w:r>
      <w:r w:rsidR="0080408F" w:rsidRPr="00BB3883">
        <w:rPr>
          <w:rFonts w:cstheme="minorHAnsi"/>
        </w:rPr>
        <w:t>Herpes simplex virus</w:t>
      </w:r>
    </w:p>
    <w:p w:rsidR="0080408F" w:rsidRPr="00BB3883" w:rsidRDefault="00456561" w:rsidP="00BB3883">
      <w:pPr>
        <w:spacing w:after="0" w:line="240" w:lineRule="auto"/>
        <w:ind w:left="720"/>
        <w:rPr>
          <w:rFonts w:cstheme="minorHAnsi"/>
        </w:rPr>
      </w:pPr>
      <w:r w:rsidRPr="00BB3883">
        <w:rPr>
          <w:rFonts w:cstheme="minorHAnsi"/>
        </w:rPr>
        <w:t xml:space="preserve">C. </w:t>
      </w:r>
      <w:r w:rsidR="0080408F" w:rsidRPr="00BB3883">
        <w:rPr>
          <w:rFonts w:cstheme="minorHAnsi"/>
        </w:rPr>
        <w:t>Salmonella</w:t>
      </w:r>
    </w:p>
    <w:p w:rsidR="0080408F" w:rsidRPr="00BB3883" w:rsidRDefault="00456561" w:rsidP="00BB3883">
      <w:pPr>
        <w:spacing w:after="0" w:line="240" w:lineRule="auto"/>
        <w:ind w:left="720"/>
        <w:rPr>
          <w:rFonts w:cstheme="minorHAnsi"/>
        </w:rPr>
      </w:pPr>
      <w:r w:rsidRPr="00BB3883">
        <w:rPr>
          <w:rFonts w:cstheme="minorHAnsi"/>
        </w:rPr>
        <w:t xml:space="preserve">D. </w:t>
      </w:r>
      <w:r w:rsidR="0080408F" w:rsidRPr="00BB3883">
        <w:rPr>
          <w:rFonts w:cstheme="minorHAnsi"/>
        </w:rPr>
        <w:t>Streptococcus pneumoniae</w:t>
      </w:r>
    </w:p>
    <w:p w:rsidR="0080408F" w:rsidRPr="00BB3883" w:rsidRDefault="0080408F" w:rsidP="00BB3883">
      <w:pPr>
        <w:spacing w:after="0" w:line="240" w:lineRule="auto"/>
        <w:rPr>
          <w:rFonts w:cstheme="minorHAnsi"/>
        </w:rPr>
      </w:pPr>
    </w:p>
    <w:p w:rsidR="00926390" w:rsidRPr="00BB3883" w:rsidRDefault="00926390" w:rsidP="00BB3883">
      <w:pPr>
        <w:spacing w:after="0" w:line="240" w:lineRule="auto"/>
        <w:rPr>
          <w:rFonts w:cstheme="minorHAnsi"/>
          <w:b/>
          <w:u w:val="single"/>
        </w:rPr>
      </w:pPr>
      <w:r w:rsidRPr="00BB3883">
        <w:rPr>
          <w:rFonts w:cstheme="minorHAnsi"/>
          <w:b/>
          <w:u w:val="single"/>
        </w:rPr>
        <w:lastRenderedPageBreak/>
        <w:t xml:space="preserve">Question </w:t>
      </w:r>
      <w:r w:rsidR="00AC72DA" w:rsidRPr="00BB3883">
        <w:rPr>
          <w:rFonts w:cstheme="minorHAnsi"/>
          <w:b/>
          <w:u w:val="single"/>
        </w:rPr>
        <w:t>7</w:t>
      </w:r>
    </w:p>
    <w:p w:rsidR="00926390" w:rsidRPr="00BB3883" w:rsidRDefault="00926390" w:rsidP="00BB3883">
      <w:pPr>
        <w:spacing w:after="0" w:line="240" w:lineRule="auto"/>
        <w:rPr>
          <w:rFonts w:cstheme="minorHAnsi"/>
        </w:rPr>
      </w:pPr>
      <w:r w:rsidRPr="00BB3883">
        <w:rPr>
          <w:rFonts w:cstheme="minorHAnsi"/>
        </w:rPr>
        <w:t>A 10-year-old boy is brought to the emergency department for the evaluation of sudden onset of fever to 39°C after a viral upper respiratory illness. He has a wet cough and complains of right chest pain. On physical examination, he is ill appearing. He has a respiratory rate of 20 breaths/min and oxygen saturation of 94% on room air. He complains of pleuritic pain on the right side with deep inspiration and splints his chest to the right. Breath sounds are decreased in the right midlung field, but no rales, wheezes, or rubs are heard. He is able to produce a sputum sample that shows gram-positive lancet-shaped diplococci and demonstrates the pattern of hemolysis shown in the image (</w:t>
      </w:r>
      <w:hyperlink r:id="rId5" w:tooltip="PREP® Multimedia" w:history="1">
        <w:r w:rsidRPr="00BB3883">
          <w:rPr>
            <w:rStyle w:val="Hyperlink"/>
            <w:rFonts w:cstheme="minorHAnsi"/>
            <w:b/>
            <w:bCs/>
          </w:rPr>
          <w:t>Item Q201</w:t>
        </w:r>
      </w:hyperlink>
      <w:r w:rsidRPr="00BB3883">
        <w:rPr>
          <w:rFonts w:cstheme="minorHAnsi"/>
        </w:rPr>
        <w:t>).</w:t>
      </w:r>
    </w:p>
    <w:p w:rsidR="00926390" w:rsidRPr="00BB3883" w:rsidRDefault="00926390" w:rsidP="00BB3883">
      <w:pPr>
        <w:spacing w:after="0" w:line="240" w:lineRule="auto"/>
        <w:rPr>
          <w:rFonts w:cstheme="minorHAnsi"/>
        </w:rPr>
      </w:pPr>
      <w:r w:rsidRPr="00BB3883">
        <w:rPr>
          <w:rFonts w:cstheme="minorHAnsi"/>
        </w:rPr>
        <w:t>Of the following, this boy would be at INCREASED risk for complications if he had a history of</w:t>
      </w:r>
      <w:r w:rsidR="005D5219" w:rsidRPr="00BB3883">
        <w:rPr>
          <w:rFonts w:cstheme="minorHAnsi"/>
        </w:rPr>
        <w:t>:</w:t>
      </w:r>
    </w:p>
    <w:p w:rsidR="00926390" w:rsidRPr="00BB3883" w:rsidRDefault="00926390" w:rsidP="00BB3883">
      <w:pPr>
        <w:spacing w:after="0" w:line="240" w:lineRule="auto"/>
        <w:ind w:left="720"/>
        <w:rPr>
          <w:rFonts w:cstheme="minorHAnsi"/>
        </w:rPr>
      </w:pPr>
      <w:r w:rsidRPr="00BB3883">
        <w:rPr>
          <w:rFonts w:cstheme="minorHAnsi"/>
        </w:rPr>
        <w:t>A. allergy to house dust mite and cat</w:t>
      </w:r>
    </w:p>
    <w:p w:rsidR="00926390" w:rsidRPr="00BB3883" w:rsidRDefault="00926390" w:rsidP="00BB3883">
      <w:pPr>
        <w:spacing w:after="0" w:line="240" w:lineRule="auto"/>
        <w:ind w:left="720"/>
        <w:rPr>
          <w:rFonts w:cstheme="minorHAnsi"/>
        </w:rPr>
      </w:pPr>
      <w:r w:rsidRPr="00BB3883">
        <w:rPr>
          <w:rFonts w:cstheme="minorHAnsi"/>
        </w:rPr>
        <w:t>B. atrial septal defect</w:t>
      </w:r>
    </w:p>
    <w:p w:rsidR="00926390" w:rsidRPr="00BB3883" w:rsidRDefault="00926390" w:rsidP="00BB3883">
      <w:pPr>
        <w:spacing w:after="0" w:line="240" w:lineRule="auto"/>
        <w:ind w:left="720"/>
        <w:rPr>
          <w:rFonts w:cstheme="minorHAnsi"/>
        </w:rPr>
      </w:pPr>
      <w:r w:rsidRPr="00BB3883">
        <w:rPr>
          <w:rFonts w:cstheme="minorHAnsi"/>
        </w:rPr>
        <w:t>C. parental smoking in the home</w:t>
      </w:r>
    </w:p>
    <w:p w:rsidR="00926390" w:rsidRPr="00BB3883" w:rsidRDefault="00926390" w:rsidP="00BB3883">
      <w:pPr>
        <w:spacing w:after="0" w:line="240" w:lineRule="auto"/>
        <w:ind w:left="720"/>
        <w:rPr>
          <w:rFonts w:cstheme="minorHAnsi"/>
        </w:rPr>
      </w:pPr>
      <w:r w:rsidRPr="00BB3883">
        <w:rPr>
          <w:rFonts w:cstheme="minorHAnsi"/>
        </w:rPr>
        <w:t>D. sickle cell disease</w:t>
      </w:r>
    </w:p>
    <w:p w:rsidR="00926390" w:rsidRPr="00BB3883" w:rsidRDefault="00926390" w:rsidP="00BB3883">
      <w:pPr>
        <w:spacing w:after="0" w:line="240" w:lineRule="auto"/>
        <w:rPr>
          <w:rFonts w:cstheme="minorHAnsi"/>
        </w:rPr>
      </w:pPr>
    </w:p>
    <w:p w:rsidR="0080408F" w:rsidRPr="00BB3883" w:rsidRDefault="00F9010F" w:rsidP="00BB3883">
      <w:pPr>
        <w:spacing w:after="0" w:line="240" w:lineRule="auto"/>
        <w:rPr>
          <w:rFonts w:cstheme="minorHAnsi"/>
          <w:b/>
          <w:u w:val="single"/>
        </w:rPr>
      </w:pPr>
      <w:r w:rsidRPr="00BB3883">
        <w:rPr>
          <w:rFonts w:cstheme="minorHAnsi"/>
          <w:b/>
          <w:u w:val="single"/>
        </w:rPr>
        <w:t xml:space="preserve">Question </w:t>
      </w:r>
      <w:r w:rsidR="00AC72DA" w:rsidRPr="00BB3883">
        <w:rPr>
          <w:rFonts w:cstheme="minorHAnsi"/>
          <w:b/>
          <w:u w:val="single"/>
        </w:rPr>
        <w:t>8</w:t>
      </w:r>
    </w:p>
    <w:p w:rsidR="005D5219" w:rsidRPr="00BB3883" w:rsidRDefault="00F9010F" w:rsidP="00BB3883">
      <w:pPr>
        <w:spacing w:after="0" w:line="240" w:lineRule="auto"/>
        <w:rPr>
          <w:rFonts w:cstheme="minorHAnsi"/>
        </w:rPr>
      </w:pPr>
      <w:r w:rsidRPr="00BB3883">
        <w:rPr>
          <w:rFonts w:cstheme="minorHAnsi"/>
        </w:rPr>
        <w:t>A 2 week old newborn has a positive newborn screen homozygous for sickle cell anemia. What hemoglobin pattern is consistent with this result?</w:t>
      </w:r>
    </w:p>
    <w:p w:rsidR="00F9010F" w:rsidRPr="00BB3883" w:rsidRDefault="00F9010F" w:rsidP="00BB3883">
      <w:pPr>
        <w:pStyle w:val="ListParagraph"/>
        <w:numPr>
          <w:ilvl w:val="0"/>
          <w:numId w:val="34"/>
        </w:numPr>
        <w:spacing w:after="0" w:line="240" w:lineRule="auto"/>
        <w:rPr>
          <w:rFonts w:cstheme="minorHAnsi"/>
        </w:rPr>
      </w:pPr>
      <w:r w:rsidRPr="00BB3883">
        <w:rPr>
          <w:rFonts w:cstheme="minorHAnsi"/>
        </w:rPr>
        <w:t>FA</w:t>
      </w:r>
    </w:p>
    <w:p w:rsidR="00F9010F" w:rsidRPr="00BB3883" w:rsidRDefault="00F9010F" w:rsidP="00BB3883">
      <w:pPr>
        <w:pStyle w:val="ListParagraph"/>
        <w:numPr>
          <w:ilvl w:val="0"/>
          <w:numId w:val="34"/>
        </w:numPr>
        <w:spacing w:after="0" w:line="240" w:lineRule="auto"/>
        <w:rPr>
          <w:rFonts w:cstheme="minorHAnsi"/>
        </w:rPr>
      </w:pPr>
      <w:r w:rsidRPr="00BB3883">
        <w:rPr>
          <w:rFonts w:cstheme="minorHAnsi"/>
        </w:rPr>
        <w:t>FAS</w:t>
      </w:r>
    </w:p>
    <w:p w:rsidR="00F9010F" w:rsidRPr="00BB3883" w:rsidRDefault="00F9010F" w:rsidP="00BB3883">
      <w:pPr>
        <w:pStyle w:val="ListParagraph"/>
        <w:numPr>
          <w:ilvl w:val="0"/>
          <w:numId w:val="34"/>
        </w:numPr>
        <w:spacing w:after="0" w:line="240" w:lineRule="auto"/>
        <w:rPr>
          <w:rFonts w:cstheme="minorHAnsi"/>
        </w:rPr>
      </w:pPr>
      <w:r w:rsidRPr="00BB3883">
        <w:rPr>
          <w:rFonts w:cstheme="minorHAnsi"/>
        </w:rPr>
        <w:t>FS</w:t>
      </w:r>
    </w:p>
    <w:p w:rsidR="00F9010F" w:rsidRPr="00BB3883" w:rsidRDefault="00F9010F" w:rsidP="00BB3883">
      <w:pPr>
        <w:pStyle w:val="ListParagraph"/>
        <w:numPr>
          <w:ilvl w:val="0"/>
          <w:numId w:val="34"/>
        </w:numPr>
        <w:spacing w:after="0" w:line="240" w:lineRule="auto"/>
        <w:rPr>
          <w:rFonts w:cstheme="minorHAnsi"/>
        </w:rPr>
      </w:pPr>
      <w:r w:rsidRPr="00BB3883">
        <w:rPr>
          <w:rFonts w:cstheme="minorHAnsi"/>
        </w:rPr>
        <w:t>FSC</w:t>
      </w:r>
    </w:p>
    <w:p w:rsidR="00617CA6" w:rsidRPr="00BB3883" w:rsidRDefault="00617CA6" w:rsidP="00BB3883">
      <w:pPr>
        <w:spacing w:after="0" w:line="240" w:lineRule="auto"/>
        <w:rPr>
          <w:rFonts w:cstheme="minorHAnsi"/>
        </w:rPr>
      </w:pPr>
    </w:p>
    <w:p w:rsidR="00617CA6" w:rsidRPr="00BB3883" w:rsidRDefault="00617CA6" w:rsidP="00BB3883">
      <w:pPr>
        <w:spacing w:after="0" w:line="240" w:lineRule="auto"/>
        <w:rPr>
          <w:rFonts w:cstheme="minorHAnsi"/>
          <w:b/>
          <w:u w:val="single"/>
        </w:rPr>
      </w:pPr>
      <w:r w:rsidRPr="00BB3883">
        <w:rPr>
          <w:rFonts w:cstheme="minorHAnsi"/>
          <w:b/>
          <w:u w:val="single"/>
        </w:rPr>
        <w:t>Question 9</w:t>
      </w:r>
    </w:p>
    <w:p w:rsidR="00BC5977" w:rsidRPr="00BB3883" w:rsidRDefault="00617CA6" w:rsidP="00BB3883">
      <w:pPr>
        <w:spacing w:after="0" w:line="240" w:lineRule="auto"/>
        <w:rPr>
          <w:rFonts w:cstheme="minorHAnsi"/>
        </w:rPr>
      </w:pPr>
      <w:r w:rsidRPr="00BB3883">
        <w:rPr>
          <w:rFonts w:cstheme="minorHAnsi"/>
        </w:rPr>
        <w:t xml:space="preserve">A 15-year-old boy with sickle cell disease (genotype SS) has had several </w:t>
      </w:r>
      <w:proofErr w:type="spellStart"/>
      <w:r w:rsidRPr="00BB3883">
        <w:rPr>
          <w:rFonts w:cstheme="minorHAnsi"/>
        </w:rPr>
        <w:t>vaso</w:t>
      </w:r>
      <w:proofErr w:type="spellEnd"/>
      <w:r w:rsidRPr="00BB3883">
        <w:rPr>
          <w:rFonts w:cstheme="minorHAnsi"/>
        </w:rPr>
        <w:t xml:space="preserve">-occlusive crises. </w:t>
      </w:r>
      <w:r w:rsidR="00FE2C1F" w:rsidRPr="00BB3883">
        <w:rPr>
          <w:rFonts w:cstheme="minorHAnsi"/>
        </w:rPr>
        <w:t xml:space="preserve">He is started on hydroxyurea, and dose is gradually increased with frequent follow-up visits for </w:t>
      </w:r>
      <w:r w:rsidR="00A1100B" w:rsidRPr="00BB3883">
        <w:rPr>
          <w:rFonts w:cstheme="minorHAnsi"/>
        </w:rPr>
        <w:t>monitoring lab work. Which of the following is the most significant dose limiting side effect necessitating routine monitoring?</w:t>
      </w:r>
    </w:p>
    <w:p w:rsidR="00BC5977" w:rsidRPr="00BB3883" w:rsidRDefault="00BC5977" w:rsidP="00BB3883">
      <w:pPr>
        <w:pStyle w:val="ListParagraph"/>
        <w:numPr>
          <w:ilvl w:val="0"/>
          <w:numId w:val="45"/>
        </w:numPr>
        <w:spacing w:after="0" w:line="240" w:lineRule="auto"/>
        <w:rPr>
          <w:rFonts w:cstheme="minorHAnsi"/>
        </w:rPr>
      </w:pPr>
      <w:r w:rsidRPr="00BB3883">
        <w:rPr>
          <w:rFonts w:cstheme="minorHAnsi"/>
        </w:rPr>
        <w:t>Hepatitis</w:t>
      </w:r>
    </w:p>
    <w:p w:rsidR="00BC5977" w:rsidRPr="00BB3883" w:rsidRDefault="00BC5977" w:rsidP="00BB3883">
      <w:pPr>
        <w:pStyle w:val="ListParagraph"/>
        <w:numPr>
          <w:ilvl w:val="0"/>
          <w:numId w:val="45"/>
        </w:numPr>
        <w:spacing w:after="0" w:line="240" w:lineRule="auto"/>
        <w:rPr>
          <w:rFonts w:cstheme="minorHAnsi"/>
        </w:rPr>
      </w:pPr>
      <w:r w:rsidRPr="00BB3883">
        <w:rPr>
          <w:rFonts w:cstheme="minorHAnsi"/>
        </w:rPr>
        <w:t>Poor weight gain</w:t>
      </w:r>
    </w:p>
    <w:p w:rsidR="00BC5977" w:rsidRPr="00BB3883" w:rsidRDefault="00BC5977" w:rsidP="00BB3883">
      <w:pPr>
        <w:pStyle w:val="ListParagraph"/>
        <w:numPr>
          <w:ilvl w:val="0"/>
          <w:numId w:val="45"/>
        </w:numPr>
        <w:spacing w:after="0" w:line="240" w:lineRule="auto"/>
        <w:rPr>
          <w:rFonts w:cstheme="minorHAnsi"/>
        </w:rPr>
      </w:pPr>
      <w:r w:rsidRPr="00BB3883">
        <w:rPr>
          <w:rFonts w:cstheme="minorHAnsi"/>
        </w:rPr>
        <w:t>Nephrotoxicity</w:t>
      </w:r>
    </w:p>
    <w:p w:rsidR="00BC5977" w:rsidRPr="00BB3883" w:rsidRDefault="00BC5977" w:rsidP="00BB3883">
      <w:pPr>
        <w:pStyle w:val="ListParagraph"/>
        <w:numPr>
          <w:ilvl w:val="0"/>
          <w:numId w:val="45"/>
        </w:numPr>
        <w:spacing w:after="0" w:line="240" w:lineRule="auto"/>
        <w:rPr>
          <w:rFonts w:cstheme="minorHAnsi"/>
        </w:rPr>
      </w:pPr>
      <w:r w:rsidRPr="00BB3883">
        <w:rPr>
          <w:rFonts w:cstheme="minorHAnsi"/>
        </w:rPr>
        <w:t>Myelosuppression</w:t>
      </w:r>
    </w:p>
    <w:p w:rsidR="00BC5977" w:rsidRPr="00BB3883" w:rsidRDefault="00BC5977" w:rsidP="00BB3883">
      <w:pPr>
        <w:pStyle w:val="ListParagraph"/>
        <w:numPr>
          <w:ilvl w:val="0"/>
          <w:numId w:val="45"/>
        </w:numPr>
        <w:spacing w:after="0" w:line="240" w:lineRule="auto"/>
        <w:rPr>
          <w:rFonts w:cstheme="minorHAnsi"/>
        </w:rPr>
      </w:pPr>
      <w:r w:rsidRPr="00BB3883">
        <w:rPr>
          <w:rFonts w:cstheme="minorHAnsi"/>
        </w:rPr>
        <w:t>Pancreatitis</w:t>
      </w:r>
    </w:p>
    <w:p w:rsidR="00F57907" w:rsidRPr="00BB3883" w:rsidRDefault="00F57907" w:rsidP="00BB3883">
      <w:pPr>
        <w:spacing w:after="0" w:line="240" w:lineRule="auto"/>
        <w:rPr>
          <w:rFonts w:cstheme="minorHAnsi"/>
        </w:rPr>
      </w:pPr>
    </w:p>
    <w:p w:rsidR="00F57907" w:rsidRPr="00BB3883" w:rsidRDefault="00F57907" w:rsidP="00BB3883">
      <w:pPr>
        <w:spacing w:after="0" w:line="240" w:lineRule="auto"/>
        <w:rPr>
          <w:rFonts w:cstheme="minorHAnsi"/>
          <w:b/>
          <w:u w:val="single"/>
        </w:rPr>
      </w:pPr>
      <w:r w:rsidRPr="00BB3883">
        <w:rPr>
          <w:rFonts w:cstheme="minorHAnsi"/>
          <w:b/>
          <w:u w:val="single"/>
        </w:rPr>
        <w:t>Question 10</w:t>
      </w:r>
    </w:p>
    <w:p w:rsidR="00AB27F6" w:rsidRPr="00BB3883" w:rsidRDefault="00F57907" w:rsidP="00BB3883">
      <w:pPr>
        <w:spacing w:after="0" w:line="240" w:lineRule="auto"/>
        <w:rPr>
          <w:rFonts w:cstheme="minorHAnsi"/>
        </w:rPr>
      </w:pPr>
      <w:r w:rsidRPr="00BB3883">
        <w:rPr>
          <w:rFonts w:cstheme="minorHAnsi"/>
        </w:rPr>
        <w:t xml:space="preserve">A </w:t>
      </w:r>
      <w:r w:rsidR="000361A7" w:rsidRPr="00BB3883">
        <w:rPr>
          <w:rFonts w:cstheme="minorHAnsi"/>
        </w:rPr>
        <w:t>6</w:t>
      </w:r>
      <w:r w:rsidRPr="00BB3883">
        <w:rPr>
          <w:rFonts w:cstheme="minorHAnsi"/>
        </w:rPr>
        <w:t xml:space="preserve">-year-old boy, with sickle cell disease (genotype SS), presents to clinic for a well-child check. He has been healthy, has no allergies, </w:t>
      </w:r>
      <w:r w:rsidR="00AB27F6" w:rsidRPr="00BB3883">
        <w:rPr>
          <w:rFonts w:cstheme="minorHAnsi"/>
        </w:rPr>
        <w:t>and has a normal physical exam. All of the following health maintenance activities are indicated</w:t>
      </w:r>
      <w:r w:rsidR="000361A7" w:rsidRPr="00BB3883">
        <w:rPr>
          <w:rFonts w:cstheme="minorHAnsi"/>
        </w:rPr>
        <w:t xml:space="preserve"> at this visit</w:t>
      </w:r>
      <w:r w:rsidR="00AB27F6" w:rsidRPr="00BB3883">
        <w:rPr>
          <w:rFonts w:cstheme="minorHAnsi"/>
        </w:rPr>
        <w:t>, EXCEPT:</w:t>
      </w:r>
    </w:p>
    <w:p w:rsidR="00AB27F6" w:rsidRPr="00BB3883" w:rsidRDefault="000361A7" w:rsidP="00BB3883">
      <w:pPr>
        <w:pStyle w:val="ListParagraph"/>
        <w:numPr>
          <w:ilvl w:val="0"/>
          <w:numId w:val="47"/>
        </w:numPr>
        <w:spacing w:after="0" w:line="240" w:lineRule="auto"/>
        <w:rPr>
          <w:rFonts w:cstheme="minorHAnsi"/>
        </w:rPr>
      </w:pPr>
      <w:r w:rsidRPr="00BB3883">
        <w:rPr>
          <w:rFonts w:cstheme="minorHAnsi"/>
        </w:rPr>
        <w:t>Referral for p</w:t>
      </w:r>
      <w:r w:rsidR="00AB27F6" w:rsidRPr="00BB3883">
        <w:rPr>
          <w:rFonts w:cstheme="minorHAnsi"/>
        </w:rPr>
        <w:t>ulmonary function test</w:t>
      </w:r>
      <w:r w:rsidRPr="00BB3883">
        <w:rPr>
          <w:rFonts w:cstheme="minorHAnsi"/>
        </w:rPr>
        <w:t>ing</w:t>
      </w:r>
    </w:p>
    <w:p w:rsidR="000361A7" w:rsidRPr="00BB3883" w:rsidRDefault="000361A7" w:rsidP="00BB3883">
      <w:pPr>
        <w:pStyle w:val="ListParagraph"/>
        <w:numPr>
          <w:ilvl w:val="0"/>
          <w:numId w:val="47"/>
        </w:numPr>
        <w:spacing w:after="0" w:line="240" w:lineRule="auto"/>
        <w:rPr>
          <w:rFonts w:cstheme="minorHAnsi"/>
        </w:rPr>
      </w:pPr>
      <w:r w:rsidRPr="00BB3883">
        <w:rPr>
          <w:rFonts w:cstheme="minorHAnsi"/>
        </w:rPr>
        <w:t>Referral for ophthalmology evaluation</w:t>
      </w:r>
    </w:p>
    <w:p w:rsidR="00AB27F6" w:rsidRPr="00BB3883" w:rsidRDefault="000361A7" w:rsidP="00BB3883">
      <w:pPr>
        <w:pStyle w:val="ListParagraph"/>
        <w:numPr>
          <w:ilvl w:val="0"/>
          <w:numId w:val="47"/>
        </w:numPr>
        <w:spacing w:after="0" w:line="240" w:lineRule="auto"/>
        <w:rPr>
          <w:rFonts w:cstheme="minorHAnsi"/>
        </w:rPr>
      </w:pPr>
      <w:r w:rsidRPr="00BB3883">
        <w:rPr>
          <w:rFonts w:cstheme="minorHAnsi"/>
        </w:rPr>
        <w:t>Influenza virus</w:t>
      </w:r>
      <w:r w:rsidR="00AB27F6" w:rsidRPr="00BB3883">
        <w:rPr>
          <w:rFonts w:cstheme="minorHAnsi"/>
        </w:rPr>
        <w:t xml:space="preserve"> vaccine</w:t>
      </w:r>
    </w:p>
    <w:p w:rsidR="00AB27F6" w:rsidRPr="00BB3883" w:rsidRDefault="00AB27F6" w:rsidP="00BB3883">
      <w:pPr>
        <w:pStyle w:val="ListParagraph"/>
        <w:numPr>
          <w:ilvl w:val="0"/>
          <w:numId w:val="47"/>
        </w:numPr>
        <w:spacing w:after="0" w:line="240" w:lineRule="auto"/>
        <w:rPr>
          <w:rFonts w:cstheme="minorHAnsi"/>
        </w:rPr>
      </w:pPr>
      <w:r w:rsidRPr="00BB3883">
        <w:rPr>
          <w:rFonts w:cstheme="minorHAnsi"/>
        </w:rPr>
        <w:t xml:space="preserve">Transcranial Doppler </w:t>
      </w:r>
      <w:r w:rsidR="007F33AD" w:rsidRPr="00BB3883">
        <w:rPr>
          <w:rFonts w:cstheme="minorHAnsi"/>
        </w:rPr>
        <w:t>ultrasonography</w:t>
      </w:r>
    </w:p>
    <w:p w:rsidR="00AB27F6" w:rsidRPr="00BB3883" w:rsidRDefault="00AB27F6" w:rsidP="00BB3883">
      <w:pPr>
        <w:spacing w:after="0" w:line="240" w:lineRule="auto"/>
        <w:rPr>
          <w:rFonts w:cstheme="minorHAnsi"/>
        </w:rPr>
      </w:pPr>
      <w:bookmarkStart w:id="1" w:name="_GoBack"/>
      <w:bookmarkEnd w:id="1"/>
    </w:p>
    <w:p w:rsidR="00F9010F" w:rsidRPr="00BB3883" w:rsidRDefault="00F9010F" w:rsidP="00BB3883">
      <w:pPr>
        <w:spacing w:after="0" w:line="240" w:lineRule="auto"/>
        <w:rPr>
          <w:rFonts w:cstheme="minorHAnsi"/>
        </w:rPr>
      </w:pPr>
    </w:p>
    <w:p w:rsidR="000361A7" w:rsidRPr="00BB3883" w:rsidRDefault="000361A7" w:rsidP="00BB3883">
      <w:pPr>
        <w:spacing w:after="0" w:line="240" w:lineRule="auto"/>
        <w:rPr>
          <w:rFonts w:cstheme="minorHAnsi"/>
          <w:b/>
          <w:u w:val="single"/>
        </w:rPr>
      </w:pPr>
      <w:r w:rsidRPr="00BB3883">
        <w:rPr>
          <w:rFonts w:cstheme="minorHAnsi"/>
          <w:b/>
          <w:u w:val="single"/>
        </w:rPr>
        <w:t>Question 11</w:t>
      </w:r>
    </w:p>
    <w:p w:rsidR="000361A7" w:rsidRPr="00BB3883" w:rsidRDefault="000361A7" w:rsidP="00BB3883">
      <w:pPr>
        <w:spacing w:after="0" w:line="240" w:lineRule="auto"/>
        <w:rPr>
          <w:rFonts w:cstheme="minorHAnsi"/>
        </w:rPr>
      </w:pPr>
      <w:r w:rsidRPr="00BB3883">
        <w:rPr>
          <w:rFonts w:cstheme="minorHAnsi"/>
        </w:rPr>
        <w:t>A 7-year-old boy with sickle cell disease (genotype SS) presents with dysphasia and right-sided weakness. Physical examination reveals normal vital signs. There is depression of right angle of mouth and weakness of right upper and lower extremities. Which of the following annual screening tests would have been most helpful in predicting the risk of this complication?</w:t>
      </w:r>
    </w:p>
    <w:p w:rsidR="000361A7" w:rsidRPr="00BB3883" w:rsidRDefault="000361A7" w:rsidP="00BB3883">
      <w:pPr>
        <w:spacing w:after="0" w:line="240" w:lineRule="auto"/>
        <w:ind w:left="720"/>
        <w:rPr>
          <w:rFonts w:cstheme="minorHAnsi"/>
        </w:rPr>
      </w:pPr>
      <w:r w:rsidRPr="00BB3883">
        <w:rPr>
          <w:rFonts w:cstheme="minorHAnsi"/>
        </w:rPr>
        <w:t>A. Comprehensive examination by neurologist.</w:t>
      </w:r>
    </w:p>
    <w:p w:rsidR="000361A7" w:rsidRPr="00BB3883" w:rsidRDefault="000361A7" w:rsidP="00BB3883">
      <w:pPr>
        <w:spacing w:after="0" w:line="240" w:lineRule="auto"/>
        <w:ind w:left="720"/>
        <w:rPr>
          <w:rFonts w:cstheme="minorHAnsi"/>
        </w:rPr>
      </w:pPr>
      <w:r w:rsidRPr="00BB3883">
        <w:rPr>
          <w:rFonts w:cstheme="minorHAnsi"/>
        </w:rPr>
        <w:t>B. Computed tomography of head.</w:t>
      </w:r>
    </w:p>
    <w:p w:rsidR="000361A7" w:rsidRPr="00BB3883" w:rsidRDefault="000361A7" w:rsidP="00BB3883">
      <w:pPr>
        <w:spacing w:after="0" w:line="240" w:lineRule="auto"/>
        <w:ind w:left="720"/>
        <w:rPr>
          <w:rFonts w:cstheme="minorHAnsi"/>
        </w:rPr>
      </w:pPr>
      <w:r w:rsidRPr="00BB3883">
        <w:rPr>
          <w:rFonts w:cstheme="minorHAnsi"/>
        </w:rPr>
        <w:t>C. Magnetic resonance imaging of head.</w:t>
      </w:r>
    </w:p>
    <w:p w:rsidR="000361A7" w:rsidRPr="00BB3883" w:rsidRDefault="000361A7" w:rsidP="00BB3883">
      <w:pPr>
        <w:spacing w:after="0" w:line="240" w:lineRule="auto"/>
        <w:ind w:left="720"/>
        <w:rPr>
          <w:rFonts w:cstheme="minorHAnsi"/>
        </w:rPr>
      </w:pPr>
      <w:r w:rsidRPr="00BB3883">
        <w:rPr>
          <w:rFonts w:cstheme="minorHAnsi"/>
        </w:rPr>
        <w:t>D. Measurement of hemoglobin S percentage.</w:t>
      </w:r>
    </w:p>
    <w:p w:rsidR="000361A7" w:rsidRPr="00BB3883" w:rsidRDefault="000361A7" w:rsidP="00BB3883">
      <w:pPr>
        <w:spacing w:after="0" w:line="240" w:lineRule="auto"/>
        <w:ind w:left="720"/>
        <w:rPr>
          <w:rFonts w:cstheme="minorHAnsi"/>
        </w:rPr>
      </w:pPr>
      <w:r w:rsidRPr="00BB3883">
        <w:rPr>
          <w:rFonts w:cstheme="minorHAnsi"/>
        </w:rPr>
        <w:t>E. Transcranial Doppler ultrasonography.</w:t>
      </w:r>
    </w:p>
    <w:p w:rsidR="000361A7" w:rsidRPr="00BB3883" w:rsidRDefault="000361A7" w:rsidP="00BB3883">
      <w:pPr>
        <w:spacing w:after="0" w:line="240" w:lineRule="auto"/>
        <w:rPr>
          <w:rFonts w:cstheme="minorHAnsi"/>
        </w:rPr>
      </w:pPr>
      <w:r w:rsidRPr="00BB3883">
        <w:rPr>
          <w:rFonts w:cstheme="minorHAnsi"/>
        </w:rPr>
        <w:br w:type="page"/>
      </w:r>
    </w:p>
    <w:p w:rsidR="00F9010F" w:rsidRPr="00BB3883" w:rsidRDefault="00F9010F" w:rsidP="00BB3883">
      <w:pPr>
        <w:spacing w:after="0" w:line="240" w:lineRule="auto"/>
        <w:rPr>
          <w:rFonts w:cstheme="minorHAnsi"/>
        </w:rPr>
      </w:pPr>
    </w:p>
    <w:p w:rsidR="005D5219" w:rsidRPr="00BB3883" w:rsidRDefault="000379E8" w:rsidP="00BB3883">
      <w:pPr>
        <w:spacing w:after="0" w:line="240" w:lineRule="auto"/>
        <w:jc w:val="center"/>
        <w:rPr>
          <w:rFonts w:cstheme="minorHAnsi"/>
        </w:rPr>
        <w:sectPr w:rsidR="005D5219" w:rsidRPr="00BB3883" w:rsidSect="00CE103B">
          <w:pgSz w:w="12240" w:h="15840"/>
          <w:pgMar w:top="720" w:right="720" w:bottom="720" w:left="720" w:header="720" w:footer="720" w:gutter="0"/>
          <w:cols w:space="720"/>
          <w:docGrid w:linePitch="360"/>
        </w:sectPr>
      </w:pPr>
      <w:r w:rsidRPr="00BB3883">
        <w:rPr>
          <w:rFonts w:cstheme="minorHAnsi"/>
        </w:rPr>
        <w:t>Answers</w:t>
      </w:r>
    </w:p>
    <w:p w:rsidR="000379E8" w:rsidRPr="00BB3883" w:rsidRDefault="00AC72DA" w:rsidP="00BB3883">
      <w:pPr>
        <w:spacing w:after="0" w:line="240" w:lineRule="auto"/>
        <w:jc w:val="center"/>
        <w:rPr>
          <w:rFonts w:cstheme="minorHAnsi"/>
        </w:rPr>
      </w:pPr>
      <w:r w:rsidRPr="00BB3883">
        <w:rPr>
          <w:rFonts w:cstheme="minorHAnsi"/>
        </w:rPr>
        <w:t>1</w:t>
      </w:r>
      <w:r w:rsidR="000379E8" w:rsidRPr="00BB3883">
        <w:rPr>
          <w:rFonts w:cstheme="minorHAnsi"/>
        </w:rPr>
        <w:t>.</w:t>
      </w:r>
      <w:r w:rsidR="005D06BE" w:rsidRPr="00BB3883">
        <w:rPr>
          <w:rFonts w:cstheme="minorHAnsi"/>
        </w:rPr>
        <w:t xml:space="preserve"> E</w:t>
      </w:r>
    </w:p>
    <w:p w:rsidR="000379E8" w:rsidRPr="00BB3883" w:rsidRDefault="00AC72DA" w:rsidP="00BB3883">
      <w:pPr>
        <w:spacing w:after="0" w:line="240" w:lineRule="auto"/>
        <w:jc w:val="center"/>
        <w:rPr>
          <w:rFonts w:cstheme="minorHAnsi"/>
        </w:rPr>
      </w:pPr>
      <w:r w:rsidRPr="00BB3883">
        <w:rPr>
          <w:rFonts w:cstheme="minorHAnsi"/>
        </w:rPr>
        <w:t>2</w:t>
      </w:r>
      <w:r w:rsidR="000379E8" w:rsidRPr="00BB3883">
        <w:rPr>
          <w:rFonts w:cstheme="minorHAnsi"/>
        </w:rPr>
        <w:t>.</w:t>
      </w:r>
      <w:r w:rsidR="005D06BE" w:rsidRPr="00BB3883">
        <w:rPr>
          <w:rFonts w:cstheme="minorHAnsi"/>
        </w:rPr>
        <w:t xml:space="preserve"> E</w:t>
      </w:r>
    </w:p>
    <w:p w:rsidR="000379E8" w:rsidRPr="00BB3883" w:rsidRDefault="00AC72DA" w:rsidP="00BB3883">
      <w:pPr>
        <w:spacing w:after="0" w:line="240" w:lineRule="auto"/>
        <w:jc w:val="center"/>
        <w:rPr>
          <w:rFonts w:cstheme="minorHAnsi"/>
        </w:rPr>
      </w:pPr>
      <w:r w:rsidRPr="00BB3883">
        <w:rPr>
          <w:rFonts w:cstheme="minorHAnsi"/>
        </w:rPr>
        <w:t>3</w:t>
      </w:r>
      <w:r w:rsidR="000379E8" w:rsidRPr="00BB3883">
        <w:rPr>
          <w:rFonts w:cstheme="minorHAnsi"/>
        </w:rPr>
        <w:t>.</w:t>
      </w:r>
      <w:r w:rsidR="00B618EF" w:rsidRPr="00BB3883">
        <w:rPr>
          <w:rFonts w:cstheme="minorHAnsi"/>
        </w:rPr>
        <w:t xml:space="preserve"> A</w:t>
      </w:r>
    </w:p>
    <w:p w:rsidR="000379E8" w:rsidRPr="00BB3883" w:rsidRDefault="00AC72DA" w:rsidP="00BB3883">
      <w:pPr>
        <w:spacing w:after="0" w:line="240" w:lineRule="auto"/>
        <w:jc w:val="center"/>
        <w:rPr>
          <w:rFonts w:cstheme="minorHAnsi"/>
        </w:rPr>
      </w:pPr>
      <w:r w:rsidRPr="00BB3883">
        <w:rPr>
          <w:rFonts w:cstheme="minorHAnsi"/>
        </w:rPr>
        <w:t>4</w:t>
      </w:r>
      <w:r w:rsidR="000379E8" w:rsidRPr="00BB3883">
        <w:rPr>
          <w:rFonts w:cstheme="minorHAnsi"/>
        </w:rPr>
        <w:t>.</w:t>
      </w:r>
      <w:r w:rsidR="0080408F" w:rsidRPr="00BB3883">
        <w:rPr>
          <w:rFonts w:cstheme="minorHAnsi"/>
        </w:rPr>
        <w:t xml:space="preserve"> B</w:t>
      </w:r>
    </w:p>
    <w:p w:rsidR="000379E8" w:rsidRPr="00BB3883" w:rsidRDefault="00AC72DA" w:rsidP="00BB3883">
      <w:pPr>
        <w:spacing w:after="0" w:line="240" w:lineRule="auto"/>
        <w:jc w:val="center"/>
        <w:rPr>
          <w:rFonts w:cstheme="minorHAnsi"/>
        </w:rPr>
      </w:pPr>
      <w:r w:rsidRPr="00BB3883">
        <w:rPr>
          <w:rFonts w:cstheme="minorHAnsi"/>
        </w:rPr>
        <w:t>5</w:t>
      </w:r>
      <w:r w:rsidR="000379E8" w:rsidRPr="00BB3883">
        <w:rPr>
          <w:rFonts w:cstheme="minorHAnsi"/>
        </w:rPr>
        <w:t>.</w:t>
      </w:r>
      <w:r w:rsidR="0080408F" w:rsidRPr="00BB3883">
        <w:rPr>
          <w:rFonts w:cstheme="minorHAnsi"/>
        </w:rPr>
        <w:t xml:space="preserve"> D</w:t>
      </w:r>
    </w:p>
    <w:p w:rsidR="000379E8" w:rsidRPr="00BB3883" w:rsidRDefault="00AC72DA" w:rsidP="00BB3883">
      <w:pPr>
        <w:spacing w:after="0" w:line="240" w:lineRule="auto"/>
        <w:jc w:val="center"/>
        <w:rPr>
          <w:rFonts w:cstheme="minorHAnsi"/>
        </w:rPr>
      </w:pPr>
      <w:r w:rsidRPr="00BB3883">
        <w:rPr>
          <w:rFonts w:cstheme="minorHAnsi"/>
        </w:rPr>
        <w:t>6</w:t>
      </w:r>
      <w:r w:rsidR="000379E8" w:rsidRPr="00BB3883">
        <w:rPr>
          <w:rFonts w:cstheme="minorHAnsi"/>
        </w:rPr>
        <w:t>.</w:t>
      </w:r>
      <w:r w:rsidR="0080408F" w:rsidRPr="00BB3883">
        <w:rPr>
          <w:rFonts w:cstheme="minorHAnsi"/>
        </w:rPr>
        <w:t xml:space="preserve"> D</w:t>
      </w:r>
    </w:p>
    <w:p w:rsidR="000379E8" w:rsidRPr="00BB3883" w:rsidRDefault="00AC72DA" w:rsidP="00BB3883">
      <w:pPr>
        <w:spacing w:after="0" w:line="240" w:lineRule="auto"/>
        <w:jc w:val="center"/>
        <w:rPr>
          <w:rFonts w:cstheme="minorHAnsi"/>
        </w:rPr>
      </w:pPr>
      <w:r w:rsidRPr="00BB3883">
        <w:rPr>
          <w:rFonts w:cstheme="minorHAnsi"/>
        </w:rPr>
        <w:t>7</w:t>
      </w:r>
      <w:r w:rsidR="000379E8" w:rsidRPr="00BB3883">
        <w:rPr>
          <w:rFonts w:cstheme="minorHAnsi"/>
        </w:rPr>
        <w:t>.</w:t>
      </w:r>
      <w:r w:rsidR="00926390" w:rsidRPr="00BB3883">
        <w:rPr>
          <w:rFonts w:cstheme="minorHAnsi"/>
        </w:rPr>
        <w:t xml:space="preserve"> D</w:t>
      </w:r>
    </w:p>
    <w:p w:rsidR="000379E8" w:rsidRPr="00BB3883" w:rsidRDefault="00AC72DA" w:rsidP="00BB3883">
      <w:pPr>
        <w:spacing w:after="0" w:line="240" w:lineRule="auto"/>
        <w:jc w:val="center"/>
        <w:rPr>
          <w:rFonts w:cstheme="minorHAnsi"/>
        </w:rPr>
      </w:pPr>
      <w:r w:rsidRPr="00BB3883">
        <w:rPr>
          <w:rFonts w:cstheme="minorHAnsi"/>
        </w:rPr>
        <w:t>8</w:t>
      </w:r>
      <w:r w:rsidR="000379E8" w:rsidRPr="00BB3883">
        <w:rPr>
          <w:rFonts w:cstheme="minorHAnsi"/>
        </w:rPr>
        <w:t>.</w:t>
      </w:r>
      <w:r w:rsidR="00F9010F" w:rsidRPr="00BB3883">
        <w:rPr>
          <w:rFonts w:cstheme="minorHAnsi"/>
        </w:rPr>
        <w:t xml:space="preserve"> C</w:t>
      </w:r>
    </w:p>
    <w:p w:rsidR="00EF36F5" w:rsidRPr="00BB3883" w:rsidRDefault="00EF36F5" w:rsidP="00BB3883">
      <w:pPr>
        <w:spacing w:after="0" w:line="240" w:lineRule="auto"/>
        <w:jc w:val="center"/>
        <w:rPr>
          <w:rFonts w:cstheme="minorHAnsi"/>
        </w:rPr>
      </w:pPr>
      <w:r w:rsidRPr="00BB3883">
        <w:rPr>
          <w:rFonts w:cstheme="minorHAnsi"/>
        </w:rPr>
        <w:t>9. D</w:t>
      </w:r>
    </w:p>
    <w:p w:rsidR="000361A7" w:rsidRPr="00BB3883" w:rsidRDefault="000361A7" w:rsidP="00BB3883">
      <w:pPr>
        <w:spacing w:after="0" w:line="240" w:lineRule="auto"/>
        <w:jc w:val="center"/>
        <w:rPr>
          <w:rFonts w:cstheme="minorHAnsi"/>
        </w:rPr>
      </w:pPr>
      <w:r w:rsidRPr="00BB3883">
        <w:rPr>
          <w:rFonts w:cstheme="minorHAnsi"/>
        </w:rPr>
        <w:t>10. B</w:t>
      </w:r>
    </w:p>
    <w:p w:rsidR="000361A7" w:rsidRPr="00BB3883" w:rsidRDefault="000361A7" w:rsidP="00BB3883">
      <w:pPr>
        <w:spacing w:after="0" w:line="240" w:lineRule="auto"/>
        <w:jc w:val="center"/>
        <w:rPr>
          <w:rFonts w:cstheme="minorHAnsi"/>
        </w:rPr>
        <w:sectPr w:rsidR="000361A7" w:rsidRPr="00BB3883" w:rsidSect="005D5219">
          <w:type w:val="continuous"/>
          <w:pgSz w:w="12240" w:h="15840"/>
          <w:pgMar w:top="720" w:right="720" w:bottom="720" w:left="720" w:header="720" w:footer="720" w:gutter="0"/>
          <w:cols w:num="2" w:space="720"/>
          <w:docGrid w:linePitch="360"/>
        </w:sectPr>
      </w:pPr>
      <w:r w:rsidRPr="00BB3883">
        <w:rPr>
          <w:rFonts w:cstheme="minorHAnsi"/>
        </w:rPr>
        <w:t xml:space="preserve">11. </w:t>
      </w:r>
      <w:r w:rsidR="007F33AD" w:rsidRPr="00BB3883">
        <w:rPr>
          <w:rFonts w:cstheme="minorHAnsi"/>
        </w:rPr>
        <w:t>E</w:t>
      </w:r>
    </w:p>
    <w:p w:rsidR="000379E8" w:rsidRPr="00BB3883" w:rsidRDefault="000379E8" w:rsidP="00BB3883">
      <w:pPr>
        <w:spacing w:after="0" w:line="240" w:lineRule="auto"/>
        <w:rPr>
          <w:rFonts w:cstheme="minorHAnsi"/>
        </w:rPr>
      </w:pPr>
    </w:p>
    <w:p w:rsidR="000379E8" w:rsidRPr="00BB3883" w:rsidRDefault="000379E8" w:rsidP="00BB3883">
      <w:pPr>
        <w:spacing w:after="0" w:line="240" w:lineRule="auto"/>
        <w:jc w:val="center"/>
        <w:rPr>
          <w:rFonts w:cstheme="minorHAnsi"/>
          <w:b/>
        </w:rPr>
      </w:pPr>
      <w:r w:rsidRPr="00BB3883">
        <w:rPr>
          <w:rFonts w:cstheme="minorHAnsi"/>
          <w:b/>
        </w:rPr>
        <w:t>Detailed Explanations</w:t>
      </w:r>
    </w:p>
    <w:p w:rsidR="005D06BE" w:rsidRPr="00BB3883" w:rsidRDefault="005D06BE" w:rsidP="00BB3883">
      <w:pPr>
        <w:pStyle w:val="NormalWeb"/>
        <w:spacing w:before="0" w:beforeAutospacing="0" w:after="0" w:afterAutospacing="0"/>
        <w:rPr>
          <w:rFonts w:asciiTheme="minorHAnsi" w:hAnsiTheme="minorHAnsi" w:cstheme="minorHAnsi"/>
          <w:color w:val="000000"/>
          <w:sz w:val="22"/>
          <w:szCs w:val="22"/>
        </w:rPr>
      </w:pPr>
    </w:p>
    <w:p w:rsidR="005D06BE" w:rsidRPr="00BB3883" w:rsidRDefault="005D06BE"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1</w:t>
      </w:r>
    </w:p>
    <w:p w:rsidR="005D06BE" w:rsidRPr="00BB3883" w:rsidRDefault="005D06BE" w:rsidP="00BB3883">
      <w:pPr>
        <w:spacing w:after="0" w:line="240" w:lineRule="auto"/>
        <w:rPr>
          <w:rFonts w:cstheme="minorHAnsi"/>
          <w:bCs/>
        </w:rPr>
      </w:pPr>
      <w:r w:rsidRPr="00BB3883">
        <w:rPr>
          <w:rFonts w:cstheme="minorHAnsi"/>
          <w:bCs/>
        </w:rPr>
        <w:t xml:space="preserve">The girl in the vignette has splenic sequestration. It is critical to rapidly recognize this event, as it can quickly result in very severe anemia and death. This sickle cell–related crisis occurs when sickling in the vasculature of the spleen entraps red blood cells, resulting in rapid splenic engorgement and a severe, potentially life-threatening anemia. Splenic sequestration is most common in children younger than 5 years, but can occur at any age. It typically presents, as in the child in the vignette, with signs of severe anemia (tachycardia, pallor, and fussiness), thrombocytopenia, and a palpable spleen. Fever may be present. One of the most effective interventions for reducing mortality in young children with sickle cell disease has been teaching parents to palpate for a spleen in their child daily. Splenic sequestration associated with sickle cell disease should be treated with a transfusion of packed red blood cells. If the anemia is very severe, the transfusion should be given slowly, over several hours, and typically in aliquots of 5 to 7 mL/kg. This approach avoids further cardiac stress. In addition, the spleen will eventually “release” the entrapped red blood cells, leading to a rapid rise in hemoglobin; if too much blood was transfused when this occurs, the child can experience a </w:t>
      </w:r>
      <w:proofErr w:type="spellStart"/>
      <w:r w:rsidRPr="00BB3883">
        <w:rPr>
          <w:rFonts w:cstheme="minorHAnsi"/>
          <w:bCs/>
        </w:rPr>
        <w:t>hyperviscous</w:t>
      </w:r>
      <w:proofErr w:type="spellEnd"/>
      <w:r w:rsidRPr="00BB3883">
        <w:rPr>
          <w:rFonts w:cstheme="minorHAnsi"/>
          <w:bCs/>
        </w:rPr>
        <w:t xml:space="preserve"> state. </w:t>
      </w:r>
    </w:p>
    <w:p w:rsidR="005D06BE" w:rsidRPr="00BB3883" w:rsidRDefault="005D06BE" w:rsidP="00BB3883">
      <w:pPr>
        <w:spacing w:after="0" w:line="240" w:lineRule="auto"/>
        <w:rPr>
          <w:rFonts w:cstheme="minorHAnsi"/>
          <w:bCs/>
        </w:rPr>
      </w:pPr>
      <w:r w:rsidRPr="00BB3883">
        <w:rPr>
          <w:rFonts w:cstheme="minorHAnsi"/>
          <w:bCs/>
        </w:rPr>
        <w:t>Hemoglobin SS disease occurs when both β-globin genes located on chromosome 11p15.5 contain a point mutation, resulting in the replacement of glutamic acid with valine at position 6. This results in a qualitatively defective hemoglobin molecule that is prone to polymerization with resultant deformation of the red blood cell membrane. This, in turn, leads to an abbreviated red blood cell lifespan, chronic hemolysis, and frequent small vessel occlusion with resultant end-organ damage. Although patients with hemoglobin SS experience myriad chronic illnesses, they also experience a number of acute and potentially rapidly fatal “crises” (Item C84).</w:t>
      </w:r>
    </w:p>
    <w:p w:rsidR="005D06BE" w:rsidRPr="00BB3883" w:rsidRDefault="005D06BE" w:rsidP="00BB3883">
      <w:pPr>
        <w:spacing w:after="0" w:line="240" w:lineRule="auto"/>
        <w:rPr>
          <w:rFonts w:cstheme="minorHAnsi"/>
          <w:bCs/>
        </w:rPr>
      </w:pPr>
      <w:r w:rsidRPr="00BB3883">
        <w:rPr>
          <w:rFonts w:cstheme="minorHAnsi"/>
          <w:bCs/>
          <w:noProof/>
        </w:rPr>
        <w:drawing>
          <wp:inline distT="0" distB="0" distL="0" distR="0" wp14:anchorId="509FA934" wp14:editId="182B02B0">
            <wp:extent cx="5943600" cy="2498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98282"/>
                    </a:xfrm>
                    <a:prstGeom prst="rect">
                      <a:avLst/>
                    </a:prstGeom>
                    <a:noFill/>
                    <a:ln>
                      <a:noFill/>
                    </a:ln>
                  </pic:spPr>
                </pic:pic>
              </a:graphicData>
            </a:graphic>
          </wp:inline>
        </w:drawing>
      </w:r>
    </w:p>
    <w:p w:rsidR="005D06BE" w:rsidRPr="00BB3883" w:rsidRDefault="005D06BE" w:rsidP="00BB3883">
      <w:pPr>
        <w:spacing w:after="0" w:line="240" w:lineRule="auto"/>
        <w:rPr>
          <w:rFonts w:cstheme="minorHAnsi"/>
          <w:bCs/>
        </w:rPr>
      </w:pPr>
      <w:r w:rsidRPr="00BB3883">
        <w:rPr>
          <w:rFonts w:cstheme="minorHAnsi"/>
          <w:bCs/>
        </w:rPr>
        <w:t xml:space="preserve">Virtually all patients with hemoglobin SS are functionally </w:t>
      </w:r>
      <w:proofErr w:type="spellStart"/>
      <w:r w:rsidRPr="00BB3883">
        <w:rPr>
          <w:rFonts w:cstheme="minorHAnsi"/>
          <w:bCs/>
        </w:rPr>
        <w:t>hyposplenic</w:t>
      </w:r>
      <w:proofErr w:type="spellEnd"/>
      <w:r w:rsidRPr="00BB3883">
        <w:rPr>
          <w:rFonts w:cstheme="minorHAnsi"/>
          <w:bCs/>
        </w:rPr>
        <w:t xml:space="preserve"> or </w:t>
      </w:r>
      <w:proofErr w:type="spellStart"/>
      <w:r w:rsidRPr="00BB3883">
        <w:rPr>
          <w:rFonts w:cstheme="minorHAnsi"/>
          <w:bCs/>
        </w:rPr>
        <w:t>asplenic</w:t>
      </w:r>
      <w:proofErr w:type="spellEnd"/>
      <w:r w:rsidRPr="00BB3883">
        <w:rPr>
          <w:rFonts w:cstheme="minorHAnsi"/>
          <w:bCs/>
        </w:rPr>
        <w:t xml:space="preserve"> because of chronic sickling and vascular injury in the spleen, and thereby prone to bacteremia with encapsulated organisms. Every fever in a child with sickle cell disease should be treated as bacteremia until proven otherwise. A blood culture should be performed, with a complete blood cell count and reticulocyte count, and a broad-spectrum antibiotic (most typically, a third-generation cephalosporin) should be administered as quickly as possible. Although the girl in the vignette is clearly ill, she has not been febrile. Ceftriaxone may be administered, but it would not address her underlying, acute, life-threatening problem. The girl in the vignette has fussiness, which could be a sign of pain. The administration of morphine would be the correct choice for pain management in a child with sickle cell disease, but would not address her underlying, acute, life-threatening problem.</w:t>
      </w:r>
    </w:p>
    <w:p w:rsidR="005D06BE" w:rsidRPr="00BB3883" w:rsidRDefault="005D06BE" w:rsidP="00BB3883">
      <w:pPr>
        <w:spacing w:after="0" w:line="240" w:lineRule="auto"/>
        <w:rPr>
          <w:rFonts w:cstheme="minorHAnsi"/>
          <w:bCs/>
        </w:rPr>
      </w:pPr>
      <w:r w:rsidRPr="00BB3883">
        <w:rPr>
          <w:rFonts w:cstheme="minorHAnsi"/>
          <w:bCs/>
        </w:rPr>
        <w:lastRenderedPageBreak/>
        <w:t>Hydroxyurea increases the production of hemoglobin F, a fetal variant of hemoglobin that is not prone to polymerization. This decreases the concentration of hemoglobin S in the cell, thereby reducing polymerization, membrane deformation, and sickling. The use of hydroxyurea in the sickle cell population has greatly reduced morbidity, and should be considered in a child with sickle cell disease who has had frequent hospitalizations or life-threatening crises. Hydroxyurea does not work quickly, and would not be the appropriate treatment for an acute sickle cell–related crisis.</w:t>
      </w:r>
    </w:p>
    <w:p w:rsidR="005D06BE" w:rsidRPr="00BB3883" w:rsidRDefault="005D06BE" w:rsidP="00BB3883">
      <w:pPr>
        <w:spacing w:after="0" w:line="240" w:lineRule="auto"/>
        <w:rPr>
          <w:rFonts w:cstheme="minorHAnsi"/>
          <w:bCs/>
        </w:rPr>
      </w:pPr>
      <w:r w:rsidRPr="00BB3883">
        <w:rPr>
          <w:rFonts w:cstheme="minorHAnsi"/>
          <w:bCs/>
        </w:rPr>
        <w:t>Dehydration magnifies the impact of sickled cells in the vasculature, and increases the frequency of crises in children with sickle cell disease. In the absence of heart failure, all children with sickle cell disease presenting with an acute illness should receive maintenance intravenous fluids. However, care should be taken because children presenting with severe anemia (&lt; 4 g/dL) may already be in a state approaching high-output cardiac failure. Intravenous normal saline would be an appropriate therapy for the girl in the vignette, but would not address her underlying, acute, life-threatening problem.</w:t>
      </w:r>
    </w:p>
    <w:p w:rsidR="005D06BE" w:rsidRPr="00BB3883" w:rsidRDefault="005D06BE" w:rsidP="00BB3883">
      <w:pPr>
        <w:spacing w:after="0" w:line="240" w:lineRule="auto"/>
        <w:rPr>
          <w:rFonts w:cstheme="minorHAnsi"/>
          <w:b/>
          <w:bCs/>
        </w:rPr>
      </w:pPr>
      <w:r w:rsidRPr="00BB3883">
        <w:rPr>
          <w:rFonts w:cstheme="minorHAnsi"/>
          <w:b/>
          <w:bCs/>
        </w:rPr>
        <w:t xml:space="preserve">PREP Pearls </w:t>
      </w:r>
    </w:p>
    <w:p w:rsidR="005D06BE" w:rsidRPr="00BB3883" w:rsidRDefault="005D06BE" w:rsidP="00BB3883">
      <w:pPr>
        <w:pStyle w:val="ListParagraph"/>
        <w:numPr>
          <w:ilvl w:val="0"/>
          <w:numId w:val="6"/>
        </w:numPr>
        <w:spacing w:after="0" w:line="240" w:lineRule="auto"/>
        <w:rPr>
          <w:rFonts w:cstheme="minorHAnsi"/>
          <w:bCs/>
        </w:rPr>
      </w:pPr>
      <w:r w:rsidRPr="00BB3883">
        <w:rPr>
          <w:rFonts w:cstheme="minorHAnsi"/>
          <w:bCs/>
        </w:rPr>
        <w:t xml:space="preserve">Splenic sequestration in sickle cell disease presents with severe anemia, thrombocytopenia, and a palpable spleen. </w:t>
      </w:r>
    </w:p>
    <w:p w:rsidR="005D06BE" w:rsidRPr="00BB3883" w:rsidRDefault="005D06BE" w:rsidP="00BB3883">
      <w:pPr>
        <w:pStyle w:val="ListParagraph"/>
        <w:numPr>
          <w:ilvl w:val="0"/>
          <w:numId w:val="6"/>
        </w:numPr>
        <w:spacing w:after="0" w:line="240" w:lineRule="auto"/>
        <w:rPr>
          <w:rFonts w:cstheme="minorHAnsi"/>
          <w:bCs/>
        </w:rPr>
      </w:pPr>
      <w:r w:rsidRPr="00BB3883">
        <w:rPr>
          <w:rFonts w:cstheme="minorHAnsi"/>
          <w:bCs/>
        </w:rPr>
        <w:t xml:space="preserve">Splenic sequestration in sickle cell disease is a medical emergency, and can be rapidly fatal because of very severe anemia. </w:t>
      </w:r>
    </w:p>
    <w:p w:rsidR="005D06BE" w:rsidRPr="00BB3883" w:rsidRDefault="005D06BE" w:rsidP="00BB3883">
      <w:pPr>
        <w:pStyle w:val="ListParagraph"/>
        <w:numPr>
          <w:ilvl w:val="0"/>
          <w:numId w:val="6"/>
        </w:numPr>
        <w:spacing w:after="0" w:line="240" w:lineRule="auto"/>
        <w:rPr>
          <w:rFonts w:cstheme="minorHAnsi"/>
          <w:bCs/>
        </w:rPr>
      </w:pPr>
      <w:r w:rsidRPr="00BB3883">
        <w:rPr>
          <w:rFonts w:cstheme="minorHAnsi"/>
          <w:bCs/>
        </w:rPr>
        <w:t xml:space="preserve">Splenic sequestration associated with sickle cell disease should be treated with packed red blood cell transfusions, always administered slowly and in small aliquots. </w:t>
      </w:r>
    </w:p>
    <w:p w:rsidR="005D06BE" w:rsidRPr="00BB3883" w:rsidRDefault="005D06BE" w:rsidP="00BB3883">
      <w:pPr>
        <w:spacing w:after="0" w:line="240" w:lineRule="auto"/>
        <w:rPr>
          <w:rFonts w:cstheme="minorHAnsi"/>
          <w:bCs/>
        </w:rPr>
      </w:pPr>
    </w:p>
    <w:p w:rsidR="005D06BE" w:rsidRPr="00BB3883" w:rsidRDefault="005D06BE" w:rsidP="00BB3883">
      <w:pPr>
        <w:spacing w:after="0" w:line="240" w:lineRule="auto"/>
        <w:rPr>
          <w:rFonts w:cstheme="minorHAnsi"/>
          <w:b/>
          <w:bCs/>
          <w:u w:val="single"/>
        </w:rPr>
      </w:pPr>
      <w:r w:rsidRPr="00BB3883">
        <w:rPr>
          <w:rFonts w:cstheme="minorHAnsi"/>
          <w:b/>
          <w:bCs/>
          <w:u w:val="single"/>
        </w:rPr>
        <w:t xml:space="preserve">Question </w:t>
      </w:r>
      <w:r w:rsidR="00AC72DA" w:rsidRPr="00BB3883">
        <w:rPr>
          <w:rFonts w:cstheme="minorHAnsi"/>
          <w:b/>
          <w:bCs/>
          <w:u w:val="single"/>
        </w:rPr>
        <w:t>2</w:t>
      </w:r>
    </w:p>
    <w:p w:rsidR="005D06BE" w:rsidRPr="00BB3883" w:rsidRDefault="005D06BE" w:rsidP="00BB3883">
      <w:pPr>
        <w:spacing w:after="0" w:line="240" w:lineRule="auto"/>
        <w:rPr>
          <w:rFonts w:cstheme="minorHAnsi"/>
          <w:bCs/>
        </w:rPr>
      </w:pPr>
      <w:r w:rsidRPr="00BB3883">
        <w:rPr>
          <w:rFonts w:cstheme="minorHAnsi"/>
          <w:bCs/>
        </w:rPr>
        <w:t xml:space="preserve">Hemoglobin SS disease occurs when both β-globin genes located on chromosome 11p15.5 contain a point mutation, resulting in the replacement of glutamic acid with valine at position 6. This results in a qualitatively defective hemoglobin molecule that is prone to polymerization, with resultant deformation of the red blood cell membrane (sickling). This, in turn, leads to an abbreviated red blood cell lifespan, chronic hemolysis, and frequent small vessel occlusion with resultant end-organ damage. Virtually all patients with hemoglobin SS are functionally </w:t>
      </w:r>
      <w:proofErr w:type="spellStart"/>
      <w:r w:rsidRPr="00BB3883">
        <w:rPr>
          <w:rFonts w:cstheme="minorHAnsi"/>
          <w:bCs/>
        </w:rPr>
        <w:t>hyposplenic</w:t>
      </w:r>
      <w:proofErr w:type="spellEnd"/>
      <w:r w:rsidRPr="00BB3883">
        <w:rPr>
          <w:rFonts w:cstheme="minorHAnsi"/>
          <w:bCs/>
        </w:rPr>
        <w:t xml:space="preserve"> or </w:t>
      </w:r>
      <w:proofErr w:type="spellStart"/>
      <w:r w:rsidRPr="00BB3883">
        <w:rPr>
          <w:rFonts w:cstheme="minorHAnsi"/>
          <w:bCs/>
        </w:rPr>
        <w:t>asplenic</w:t>
      </w:r>
      <w:proofErr w:type="spellEnd"/>
      <w:r w:rsidRPr="00BB3883">
        <w:rPr>
          <w:rFonts w:cstheme="minorHAnsi"/>
          <w:bCs/>
        </w:rPr>
        <w:t xml:space="preserve"> because of chronic sickling and vascular injury in the spleen, and they are prone to bacteremia with encapsulated bacteria. </w:t>
      </w:r>
    </w:p>
    <w:p w:rsidR="005D06BE" w:rsidRPr="00BB3883" w:rsidRDefault="005D06BE" w:rsidP="00BB3883">
      <w:pPr>
        <w:spacing w:after="0" w:line="240" w:lineRule="auto"/>
        <w:rPr>
          <w:rFonts w:cstheme="minorHAnsi"/>
          <w:bCs/>
        </w:rPr>
      </w:pPr>
      <w:r w:rsidRPr="00BB3883">
        <w:rPr>
          <w:rFonts w:cstheme="minorHAnsi"/>
          <w:bCs/>
        </w:rPr>
        <w:t xml:space="preserve">The patient in the vignette has presented with signs and symptoms of sepsis, including fever, tachycardia, hypotension, and rigors. It is critical to rapidly recognize sepsis because it can quickly result in disseminated intravascular coagulation and death. Every fever in a child with sickle cell disease should be considered an emergency and treated as bacteremia until proven otherwise. A blood culture should be performed with a complete blood cell count and reticulocyte count, and a broad-spectrum antibiotic (typically a third-generation cephalosporin) should be administered as quickly as possible. </w:t>
      </w:r>
      <w:r w:rsidRPr="00BB3883">
        <w:rPr>
          <w:rFonts w:cstheme="minorHAnsi"/>
          <w:bCs/>
          <w:i/>
          <w:iCs/>
        </w:rPr>
        <w:t xml:space="preserve">Streptococcus pneumoniae </w:t>
      </w:r>
      <w:r w:rsidRPr="00BB3883">
        <w:rPr>
          <w:rFonts w:cstheme="minorHAnsi"/>
          <w:bCs/>
        </w:rPr>
        <w:t>is the most frequent causative agent of sepsis in patients with sickle cell disease. Prophylactic daily penicillin in children up to 5 years of age and the use of pneumococcal vaccines have been two of the most significant medical advances for reducing the morbidity and mortality of sickle cell disease. It is important to recognize that even patients who have been taking prophylactic penicillin and have received pneumococcal vaccines can still experience pneumococcal sepsis.</w:t>
      </w:r>
    </w:p>
    <w:p w:rsidR="005D06BE" w:rsidRPr="00BB3883" w:rsidRDefault="005D06BE" w:rsidP="00BB3883">
      <w:pPr>
        <w:spacing w:after="0" w:line="240" w:lineRule="auto"/>
        <w:rPr>
          <w:rFonts w:cstheme="minorHAnsi"/>
          <w:bCs/>
        </w:rPr>
      </w:pPr>
      <w:r w:rsidRPr="00BB3883">
        <w:rPr>
          <w:rFonts w:cstheme="minorHAnsi"/>
          <w:bCs/>
        </w:rPr>
        <w:t xml:space="preserve">Acute chest syndrome includes a triad of respiratory distress, hypoxemia, and an infiltrate on chest radiography or a clinical lung examination consistent with a focal pneumonia. Although the patient in the vignette is clearly quite ill, he did not present with the stigmata of acute chest syndrome. </w:t>
      </w:r>
    </w:p>
    <w:p w:rsidR="005D06BE" w:rsidRPr="00BB3883" w:rsidRDefault="005D06BE" w:rsidP="00BB3883">
      <w:pPr>
        <w:spacing w:after="0" w:line="240" w:lineRule="auto"/>
        <w:rPr>
          <w:rFonts w:cstheme="minorHAnsi"/>
          <w:bCs/>
        </w:rPr>
      </w:pPr>
      <w:r w:rsidRPr="00BB3883">
        <w:rPr>
          <w:rFonts w:cstheme="minorHAnsi"/>
          <w:bCs/>
        </w:rPr>
        <w:t xml:space="preserve">Hydroxyurea increases the production of hemoglobin F, a fetal variant of hemoglobin that is not prone to polymerization. This decreases the concentration of hemoglobin S in the cell, thereby reducing polymerization, membrane deformation, and sickling. The expanding use of hydroxyurea in the sickle cell population has greatly reduced morbidity, and should be considered in a child with sickle cell disease who has had frequent hospitalizations or life-threatening crises. Hydroxyurea does not cause fever or shaking chills. </w:t>
      </w:r>
    </w:p>
    <w:p w:rsidR="005D06BE" w:rsidRPr="00BB3883" w:rsidRDefault="005D06BE" w:rsidP="00BB3883">
      <w:pPr>
        <w:spacing w:after="0" w:line="240" w:lineRule="auto"/>
        <w:rPr>
          <w:rFonts w:cstheme="minorHAnsi"/>
          <w:bCs/>
        </w:rPr>
      </w:pPr>
      <w:r w:rsidRPr="00BB3883">
        <w:rPr>
          <w:rFonts w:cstheme="minorHAnsi"/>
          <w:bCs/>
        </w:rPr>
        <w:t>Splenic sequestration occurs when sickling in the vasculature of the spleen entraps red blood cells, resulting in rapid splenic engorgement and a severe, potentially life-threatening anemia. Splenic sequestration is most common in children younger than 5 years, but can occur at any age. Affected children typically present with signs of severe anemia (tachycardia, pallor, and fatigue), thrombocytopenia, and a palpable spleen. Fever may or may not be present. Given the patient’s age and rigors, splenic sequestration is unlikely.</w:t>
      </w:r>
    </w:p>
    <w:p w:rsidR="005D06BE" w:rsidRPr="00BB3883" w:rsidRDefault="005D06BE" w:rsidP="00BB3883">
      <w:pPr>
        <w:spacing w:after="0" w:line="240" w:lineRule="auto"/>
        <w:rPr>
          <w:rFonts w:cstheme="minorHAnsi"/>
          <w:b/>
          <w:bCs/>
        </w:rPr>
      </w:pPr>
      <w:r w:rsidRPr="00BB3883">
        <w:rPr>
          <w:rFonts w:cstheme="minorHAnsi"/>
          <w:b/>
          <w:bCs/>
        </w:rPr>
        <w:t xml:space="preserve">PREP Pearls </w:t>
      </w:r>
    </w:p>
    <w:p w:rsidR="005D06BE" w:rsidRPr="00BB3883" w:rsidRDefault="005D06BE" w:rsidP="00BB3883">
      <w:pPr>
        <w:spacing w:after="0" w:line="240" w:lineRule="auto"/>
        <w:rPr>
          <w:rFonts w:cstheme="minorHAnsi"/>
          <w:bCs/>
        </w:rPr>
      </w:pPr>
      <w:r w:rsidRPr="00BB3883">
        <w:rPr>
          <w:rFonts w:cstheme="minorHAnsi"/>
          <w:bCs/>
        </w:rPr>
        <w:t xml:space="preserve">• Patients with sickle cell disease are functionally </w:t>
      </w:r>
      <w:proofErr w:type="spellStart"/>
      <w:r w:rsidRPr="00BB3883">
        <w:rPr>
          <w:rFonts w:cstheme="minorHAnsi"/>
          <w:bCs/>
        </w:rPr>
        <w:t>asplenic</w:t>
      </w:r>
      <w:proofErr w:type="spellEnd"/>
      <w:r w:rsidRPr="00BB3883">
        <w:rPr>
          <w:rFonts w:cstheme="minorHAnsi"/>
          <w:bCs/>
        </w:rPr>
        <w:t xml:space="preserve">, and thus at risk for sepsis with encapsulated organisms. </w:t>
      </w:r>
    </w:p>
    <w:p w:rsidR="005D06BE" w:rsidRPr="00BB3883" w:rsidRDefault="005D06BE" w:rsidP="00BB3883">
      <w:pPr>
        <w:spacing w:after="0" w:line="240" w:lineRule="auto"/>
        <w:rPr>
          <w:rFonts w:cstheme="minorHAnsi"/>
          <w:bCs/>
        </w:rPr>
      </w:pPr>
      <w:r w:rsidRPr="00BB3883">
        <w:rPr>
          <w:rFonts w:cstheme="minorHAnsi"/>
          <w:bCs/>
        </w:rPr>
        <w:lastRenderedPageBreak/>
        <w:t xml:space="preserve">• </w:t>
      </w:r>
      <w:r w:rsidRPr="00BB3883">
        <w:rPr>
          <w:rFonts w:cstheme="minorHAnsi"/>
          <w:bCs/>
          <w:i/>
          <w:iCs/>
        </w:rPr>
        <w:t xml:space="preserve">Streptococcus pneumoniae </w:t>
      </w:r>
      <w:r w:rsidRPr="00BB3883">
        <w:rPr>
          <w:rFonts w:cstheme="minorHAnsi"/>
          <w:bCs/>
        </w:rPr>
        <w:t xml:space="preserve">is the most common cause of sepsis in patients with sickle cell disease. </w:t>
      </w:r>
    </w:p>
    <w:p w:rsidR="005D06BE" w:rsidRPr="00BB3883" w:rsidRDefault="005D06BE" w:rsidP="00BB3883">
      <w:pPr>
        <w:pStyle w:val="NormalWeb"/>
        <w:spacing w:before="0" w:beforeAutospacing="0" w:after="0" w:afterAutospacing="0"/>
        <w:rPr>
          <w:rFonts w:asciiTheme="minorHAnsi" w:hAnsiTheme="minorHAnsi" w:cstheme="minorHAnsi"/>
          <w:color w:val="000000"/>
          <w:sz w:val="22"/>
          <w:szCs w:val="22"/>
        </w:rPr>
      </w:pPr>
    </w:p>
    <w:p w:rsidR="005D06BE" w:rsidRPr="00BB3883" w:rsidRDefault="005D06BE"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3</w:t>
      </w:r>
    </w:p>
    <w:p w:rsidR="00B618EF" w:rsidRPr="00BB3883" w:rsidRDefault="00B618EF" w:rsidP="00BB3883">
      <w:pPr>
        <w:spacing w:after="0" w:line="240" w:lineRule="auto"/>
        <w:rPr>
          <w:rFonts w:cstheme="minorHAnsi"/>
        </w:rPr>
      </w:pPr>
      <w:r w:rsidRPr="00BB3883">
        <w:rPr>
          <w:rFonts w:cstheme="minorHAnsi"/>
        </w:rPr>
        <w:t>Hemoglobin SS disease is an autosomal recessive disorder that occurs when both β-globin genes, located on chromosomal band 11p15.5, contain a point mutation resulting in the replacement of glutamic acid with valine at position 6. In this vignette, a sibling to the unborn child has hemoglobin SS disease, suggesting that both parents carry the sickle cell trait. Therefore, there is a 25% chance that the fetus also has hemoglobin SS disease. Screening for this disorder can be performed by hemoglobin isoelectric focusing or high-performance liquid chromatography to determine the relative quantities of hemoglobin variants in a newborn blood spot.</w:t>
      </w:r>
    </w:p>
    <w:p w:rsidR="00B618EF" w:rsidRPr="00BB3883" w:rsidRDefault="00B618EF" w:rsidP="00BB3883">
      <w:pPr>
        <w:spacing w:after="0" w:line="240" w:lineRule="auto"/>
        <w:rPr>
          <w:rFonts w:cstheme="minorHAnsi"/>
        </w:rPr>
      </w:pPr>
      <w:r w:rsidRPr="00BB3883">
        <w:rPr>
          <w:rFonts w:cstheme="minorHAnsi"/>
        </w:rPr>
        <w:t>Normal adult hemoglobin (hemoglobin A) consists of tetramers of 2 α-globin chains and 2 β-globin chains. Fetuses require hemoglobin with a higher oxygen affinity given the relatively hypoxic in utero environment. Fetal hemoglobin (hemoglobin F) consists of 2 α-globin chains and 2 γ-globin chains. Newborns with normal globin genes have a predominance of hemoglobin F and a minority component of hemoglobin A. This combination is reported in the newborn screening results as FA. Newborns with hemoglobin SS disease also have a predominance of hemoglobin F, but they express hemoglobin S instead of hemoglobin A (newborn screening result, FS). Newborns with sickle cell trait have a predominance of hemoglobin F with minority components of both hemoglobin A, expressed from the normal globin gene, and hemoglobin S, expressed from the mutated globin gene (newborn screening result, FAS). Although sickle cell disease can certainly be diagnosed at 1, 3, 6, or 12 months of age, the earliest and most frequent time for the diagnosis in the United States is at birth. Newborn screening for sickle cell disease is mandated in all 50 states and the District of Columbia.</w:t>
      </w:r>
    </w:p>
    <w:p w:rsidR="005D5219" w:rsidRPr="00BB3883" w:rsidRDefault="00B618EF" w:rsidP="00BB3883">
      <w:pPr>
        <w:spacing w:after="0" w:line="240" w:lineRule="auto"/>
        <w:rPr>
          <w:rFonts w:cstheme="minorHAnsi"/>
        </w:rPr>
      </w:pPr>
      <w:r w:rsidRPr="00BB3883">
        <w:rPr>
          <w:rFonts w:cstheme="minorHAnsi"/>
        </w:rPr>
        <w:t>Given the high proportion of hemoglobin F at birth, the complications of sickle cell disease do not typically manifest in the first few months after birth. As a child with sickle cell disease ages, the relative amount of hemoglobin S increases, and the amount of hemoglobin F decreases. The qualitatively defective hemoglobin molecule in hemoglobin S is prone to polymerization, which results in deformation of the red blood cell membrane (sickling). This deformation leads to an abbreviated red blood cell lifespan, chronic hemolysis, and frequent small vessel occlusion resulting in end-organ damage. This damage leads to a multitude of acute and chronic illnesses, as well as a shortened life span. Early diagnosis of sickle cell disease allows for the early implementation of counseling, screening, and prophylaxis that can help maintain health in this complex population. </w:t>
      </w:r>
    </w:p>
    <w:p w:rsidR="00B618EF" w:rsidRPr="00BB3883" w:rsidRDefault="00B618EF" w:rsidP="00BB3883">
      <w:pPr>
        <w:spacing w:after="0" w:line="240" w:lineRule="auto"/>
        <w:rPr>
          <w:rFonts w:cstheme="minorHAnsi"/>
          <w:b/>
          <w:bCs/>
        </w:rPr>
      </w:pPr>
      <w:r w:rsidRPr="00BB3883">
        <w:rPr>
          <w:rFonts w:cstheme="minorHAnsi"/>
          <w:b/>
          <w:bCs/>
        </w:rPr>
        <w:t>PREP Pearls</w:t>
      </w:r>
    </w:p>
    <w:p w:rsidR="00B618EF" w:rsidRPr="00BB3883" w:rsidRDefault="00B618EF" w:rsidP="00BB3883">
      <w:pPr>
        <w:numPr>
          <w:ilvl w:val="0"/>
          <w:numId w:val="7"/>
        </w:numPr>
        <w:spacing w:after="0" w:line="240" w:lineRule="auto"/>
        <w:rPr>
          <w:rFonts w:cstheme="minorHAnsi"/>
        </w:rPr>
      </w:pPr>
      <w:r w:rsidRPr="00BB3883">
        <w:rPr>
          <w:rFonts w:cstheme="minorHAnsi"/>
        </w:rPr>
        <w:t>Newborns have a predominance of hemoglobin F (fetal hemoglobin, α</w:t>
      </w:r>
      <w:r w:rsidRPr="00BB3883">
        <w:rPr>
          <w:rFonts w:cstheme="minorHAnsi"/>
          <w:vertAlign w:val="subscript"/>
        </w:rPr>
        <w:t>2</w:t>
      </w:r>
      <w:r w:rsidRPr="00BB3883">
        <w:rPr>
          <w:rFonts w:cstheme="minorHAnsi"/>
        </w:rPr>
        <w:t>γ</w:t>
      </w:r>
      <w:r w:rsidRPr="00BB3883">
        <w:rPr>
          <w:rFonts w:cstheme="minorHAnsi"/>
          <w:vertAlign w:val="subscript"/>
        </w:rPr>
        <w:t>2</w:t>
      </w:r>
      <w:r w:rsidRPr="00BB3883">
        <w:rPr>
          <w:rFonts w:cstheme="minorHAnsi"/>
        </w:rPr>
        <w:t>) at birth and a minor expression of hemoglobin A (adult hemoglobin, α</w:t>
      </w:r>
      <w:r w:rsidRPr="00BB3883">
        <w:rPr>
          <w:rFonts w:cstheme="minorHAnsi"/>
          <w:vertAlign w:val="subscript"/>
        </w:rPr>
        <w:t>2</w:t>
      </w:r>
      <w:r w:rsidRPr="00BB3883">
        <w:rPr>
          <w:rFonts w:cstheme="minorHAnsi"/>
        </w:rPr>
        <w:t>β</w:t>
      </w:r>
      <w:r w:rsidRPr="00BB3883">
        <w:rPr>
          <w:rFonts w:cstheme="minorHAnsi"/>
          <w:vertAlign w:val="subscript"/>
        </w:rPr>
        <w:t>2</w:t>
      </w:r>
      <w:r w:rsidRPr="00BB3883">
        <w:rPr>
          <w:rFonts w:cstheme="minorHAnsi"/>
        </w:rPr>
        <w:t>).</w:t>
      </w:r>
    </w:p>
    <w:p w:rsidR="00B618EF" w:rsidRPr="00BB3883" w:rsidRDefault="00B618EF" w:rsidP="00BB3883">
      <w:pPr>
        <w:numPr>
          <w:ilvl w:val="0"/>
          <w:numId w:val="8"/>
        </w:numPr>
        <w:spacing w:after="0" w:line="240" w:lineRule="auto"/>
        <w:rPr>
          <w:rFonts w:cstheme="minorHAnsi"/>
        </w:rPr>
      </w:pPr>
      <w:r w:rsidRPr="00BB3883">
        <w:rPr>
          <w:rFonts w:cstheme="minorHAnsi"/>
        </w:rPr>
        <w:t>Abnormal hemoglobin can be detected from a neonatal blood spot, thus sickle cell disease can be diagnosed in the newborn.</w:t>
      </w:r>
    </w:p>
    <w:p w:rsidR="00B618EF" w:rsidRPr="00BB3883" w:rsidRDefault="00B618EF" w:rsidP="00BB3883">
      <w:pPr>
        <w:numPr>
          <w:ilvl w:val="0"/>
          <w:numId w:val="9"/>
        </w:numPr>
        <w:spacing w:after="0" w:line="240" w:lineRule="auto"/>
        <w:rPr>
          <w:rFonts w:cstheme="minorHAnsi"/>
        </w:rPr>
      </w:pPr>
      <w:r w:rsidRPr="00BB3883">
        <w:rPr>
          <w:rFonts w:cstheme="minorHAnsi"/>
        </w:rPr>
        <w:t>All 50 states and the District of Columbia have mandated newborn screening for sickle cell disease.</w:t>
      </w:r>
    </w:p>
    <w:p w:rsidR="00B618EF" w:rsidRPr="00BB3883" w:rsidRDefault="00B618EF" w:rsidP="00BB3883">
      <w:pPr>
        <w:numPr>
          <w:ilvl w:val="0"/>
          <w:numId w:val="10"/>
        </w:numPr>
        <w:spacing w:after="0" w:line="240" w:lineRule="auto"/>
        <w:rPr>
          <w:rFonts w:cstheme="minorHAnsi"/>
        </w:rPr>
      </w:pPr>
      <w:r w:rsidRPr="00BB3883">
        <w:rPr>
          <w:rFonts w:cstheme="minorHAnsi"/>
        </w:rPr>
        <w:t xml:space="preserve">Newborn screening results are reported as FA for newborns with normal </w:t>
      </w:r>
      <w:proofErr w:type="spellStart"/>
      <w:r w:rsidRPr="00BB3883">
        <w:rPr>
          <w:rFonts w:cstheme="minorHAnsi"/>
        </w:rPr>
        <w:t>hemoglobins</w:t>
      </w:r>
      <w:proofErr w:type="spellEnd"/>
      <w:r w:rsidRPr="00BB3883">
        <w:rPr>
          <w:rFonts w:cstheme="minorHAnsi"/>
        </w:rPr>
        <w:t>, FS for newborns with hemoglobin SS disease, and FAS for newborns with sickle cell trait. </w:t>
      </w:r>
    </w:p>
    <w:p w:rsidR="00B618EF" w:rsidRPr="00BB3883" w:rsidRDefault="00B618EF" w:rsidP="00BB3883">
      <w:pPr>
        <w:spacing w:after="0" w:line="240" w:lineRule="auto"/>
        <w:rPr>
          <w:rFonts w:cstheme="minorHAnsi"/>
          <w:b/>
          <w:bCs/>
        </w:rPr>
      </w:pPr>
      <w:bookmarkStart w:id="2" w:name="survey"/>
      <w:bookmarkEnd w:id="2"/>
      <w:r w:rsidRPr="00BB3883">
        <w:rPr>
          <w:rFonts w:cstheme="minorHAnsi"/>
          <w:b/>
          <w:bCs/>
        </w:rPr>
        <w:t>Suggested Readings</w:t>
      </w:r>
    </w:p>
    <w:p w:rsidR="00B618EF" w:rsidRPr="00BB3883" w:rsidRDefault="00B618EF" w:rsidP="00BB3883">
      <w:pPr>
        <w:numPr>
          <w:ilvl w:val="0"/>
          <w:numId w:val="13"/>
        </w:numPr>
        <w:spacing w:after="0" w:line="240" w:lineRule="auto"/>
        <w:rPr>
          <w:rFonts w:cstheme="minorHAnsi"/>
        </w:rPr>
      </w:pPr>
      <w:r w:rsidRPr="00BB3883">
        <w:rPr>
          <w:rFonts w:cstheme="minorHAnsi"/>
        </w:rPr>
        <w:t>Driscoll MC. Sickle cell disease.</w:t>
      </w:r>
      <w:r w:rsidRPr="00BB3883">
        <w:rPr>
          <w:rFonts w:cstheme="minorHAnsi"/>
          <w:i/>
          <w:iCs/>
        </w:rPr>
        <w:t>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xml:space="preserve"> 2007;28(7):259–268. </w:t>
      </w:r>
      <w:proofErr w:type="spellStart"/>
      <w:r w:rsidRPr="00BB3883">
        <w:rPr>
          <w:rFonts w:cstheme="minorHAnsi"/>
        </w:rPr>
        <w:t>doi</w:t>
      </w:r>
      <w:proofErr w:type="spellEnd"/>
      <w:r w:rsidRPr="00BB3883">
        <w:rPr>
          <w:rFonts w:cstheme="minorHAnsi"/>
        </w:rPr>
        <w:t>: </w:t>
      </w:r>
      <w:hyperlink r:id="rId7" w:tgtFrame="_blank" w:history="1">
        <w:r w:rsidRPr="00BB3883">
          <w:rPr>
            <w:rStyle w:val="Hyperlink"/>
            <w:rFonts w:cstheme="minorHAnsi"/>
          </w:rPr>
          <w:t>http://dx.doi.org/10.1542/pir.28-7-259</w:t>
        </w:r>
      </w:hyperlink>
      <w:r w:rsidRPr="00BB3883">
        <w:rPr>
          <w:rFonts w:cstheme="minorHAnsi"/>
        </w:rPr>
        <w:t>.</w:t>
      </w:r>
    </w:p>
    <w:p w:rsidR="00B618EF" w:rsidRPr="00BB3883" w:rsidRDefault="00B618EF" w:rsidP="00BB3883">
      <w:pPr>
        <w:numPr>
          <w:ilvl w:val="0"/>
          <w:numId w:val="13"/>
        </w:numPr>
        <w:spacing w:after="0" w:line="240" w:lineRule="auto"/>
        <w:rPr>
          <w:rFonts w:cstheme="minorHAnsi"/>
        </w:rPr>
      </w:pPr>
      <w:r w:rsidRPr="00BB3883">
        <w:rPr>
          <w:rFonts w:cstheme="minorHAnsi"/>
        </w:rPr>
        <w:t>Gonzales JL. Ethics for the pediatrician: genetic testing and newborn screening.</w:t>
      </w:r>
      <w:r w:rsidRPr="00BB3883">
        <w:rPr>
          <w:rFonts w:cstheme="minorHAnsi"/>
          <w:i/>
          <w:iCs/>
        </w:rPr>
        <w:t>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xml:space="preserve"> 2011;32(11):490–493. </w:t>
      </w:r>
      <w:proofErr w:type="spellStart"/>
      <w:r w:rsidRPr="00BB3883">
        <w:rPr>
          <w:rFonts w:cstheme="minorHAnsi"/>
        </w:rPr>
        <w:t>doi</w:t>
      </w:r>
      <w:proofErr w:type="spellEnd"/>
      <w:r w:rsidRPr="00BB3883">
        <w:rPr>
          <w:rFonts w:cstheme="minorHAnsi"/>
        </w:rPr>
        <w:t>: </w:t>
      </w:r>
      <w:hyperlink r:id="rId8" w:tgtFrame="_blank" w:history="1">
        <w:r w:rsidRPr="00BB3883">
          <w:rPr>
            <w:rStyle w:val="Hyperlink"/>
            <w:rFonts w:cstheme="minorHAnsi"/>
          </w:rPr>
          <w:t>http://dx.doi.org/10.1542/pir.32-11-490</w:t>
        </w:r>
      </w:hyperlink>
      <w:r w:rsidRPr="00BB3883">
        <w:rPr>
          <w:rFonts w:cstheme="minorHAnsi"/>
        </w:rPr>
        <w:t>.</w:t>
      </w:r>
    </w:p>
    <w:p w:rsidR="00B618EF" w:rsidRPr="00BB3883" w:rsidRDefault="00B618EF" w:rsidP="00BB3883">
      <w:pPr>
        <w:numPr>
          <w:ilvl w:val="0"/>
          <w:numId w:val="13"/>
        </w:numPr>
        <w:spacing w:after="0" w:line="240" w:lineRule="auto"/>
        <w:rPr>
          <w:rFonts w:cstheme="minorHAnsi"/>
        </w:rPr>
      </w:pPr>
      <w:proofErr w:type="spellStart"/>
      <w:r w:rsidRPr="00BB3883">
        <w:rPr>
          <w:rFonts w:cstheme="minorHAnsi"/>
        </w:rPr>
        <w:t>McCavit</w:t>
      </w:r>
      <w:proofErr w:type="spellEnd"/>
      <w:r w:rsidRPr="00BB3883">
        <w:rPr>
          <w:rFonts w:cstheme="minorHAnsi"/>
        </w:rPr>
        <w:t xml:space="preserve"> TL. Sickle cell disease.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xml:space="preserve"> 2012;33(5):195–206. </w:t>
      </w:r>
      <w:proofErr w:type="spellStart"/>
      <w:r w:rsidRPr="00BB3883">
        <w:rPr>
          <w:rFonts w:cstheme="minorHAnsi"/>
        </w:rPr>
        <w:t>doi</w:t>
      </w:r>
      <w:proofErr w:type="spellEnd"/>
      <w:r w:rsidRPr="00BB3883">
        <w:rPr>
          <w:rFonts w:cstheme="minorHAnsi"/>
        </w:rPr>
        <w:t>: </w:t>
      </w:r>
      <w:hyperlink r:id="rId9" w:tgtFrame="_blank" w:history="1">
        <w:r w:rsidRPr="00BB3883">
          <w:rPr>
            <w:rStyle w:val="Hyperlink"/>
            <w:rFonts w:cstheme="minorHAnsi"/>
          </w:rPr>
          <w:t>http://dx.doi.org/10.1542/pir.33-5-195</w:t>
        </w:r>
      </w:hyperlink>
      <w:r w:rsidRPr="00BB3883">
        <w:rPr>
          <w:rFonts w:cstheme="minorHAnsi"/>
        </w:rPr>
        <w:t>.</w:t>
      </w:r>
    </w:p>
    <w:p w:rsidR="005D06BE" w:rsidRPr="00BB3883" w:rsidRDefault="005D06BE" w:rsidP="00BB3883">
      <w:pPr>
        <w:pStyle w:val="NormalWeb"/>
        <w:spacing w:before="0" w:beforeAutospacing="0" w:after="0" w:afterAutospacing="0"/>
        <w:rPr>
          <w:rFonts w:asciiTheme="minorHAnsi" w:hAnsiTheme="minorHAnsi" w:cstheme="minorHAnsi"/>
          <w:color w:val="000000"/>
          <w:sz w:val="22"/>
          <w:szCs w:val="22"/>
        </w:rPr>
      </w:pPr>
    </w:p>
    <w:p w:rsidR="0080408F" w:rsidRPr="00BB3883" w:rsidRDefault="0080408F"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4</w:t>
      </w:r>
    </w:p>
    <w:p w:rsidR="0080408F" w:rsidRPr="00BB3883" w:rsidRDefault="0080408F" w:rsidP="00BB3883">
      <w:pPr>
        <w:spacing w:after="0" w:line="240" w:lineRule="auto"/>
        <w:rPr>
          <w:rFonts w:cstheme="minorHAnsi"/>
        </w:rPr>
      </w:pPr>
      <w:r w:rsidRPr="00BB3883">
        <w:rPr>
          <w:rFonts w:cstheme="minorHAnsi"/>
        </w:rPr>
        <w:t>For the patient in this vignette, the best plan is to provide conjugate meningococcal vaccine today. Individuals with sickle cell disease are predisposed to invasive meningococcal infections given their functional asplenia and should be vaccinated as infants.</w:t>
      </w:r>
    </w:p>
    <w:p w:rsidR="0080408F" w:rsidRPr="00BB3883" w:rsidRDefault="0080408F" w:rsidP="00BB3883">
      <w:pPr>
        <w:spacing w:after="0" w:line="240" w:lineRule="auto"/>
        <w:rPr>
          <w:rFonts w:cstheme="minorHAnsi"/>
        </w:rPr>
      </w:pPr>
      <w:r w:rsidRPr="00BB3883">
        <w:rPr>
          <w:rFonts w:cstheme="minorHAnsi"/>
        </w:rPr>
        <w:t>As of 2018, there are several licensed meningococcal vaccines in the United States: 3 vaccines for serogroups A, C, Y, and W135, one vaccine for serogroups C and Y (which is combined with vaccination for </w:t>
      </w:r>
      <w:proofErr w:type="spellStart"/>
      <w:r w:rsidRPr="00BB3883">
        <w:rPr>
          <w:rFonts w:cstheme="minorHAnsi"/>
          <w:i/>
          <w:iCs/>
        </w:rPr>
        <w:t>Haemophilus</w:t>
      </w:r>
      <w:proofErr w:type="spellEnd"/>
      <w:r w:rsidRPr="00BB3883">
        <w:rPr>
          <w:rFonts w:cstheme="minorHAnsi"/>
          <w:i/>
          <w:iCs/>
        </w:rPr>
        <w:t xml:space="preserve"> influenzae</w:t>
      </w:r>
      <w:r w:rsidRPr="00BB3883">
        <w:rPr>
          <w:rFonts w:cstheme="minorHAnsi"/>
        </w:rPr>
        <w:t xml:space="preserve"> type B), and 2 vaccines for serogroup B. Quadrivalent conjugate meningococcal vaccine is recommended for all US children at the 11- to 12-year-old preadolescent visit, with a booster dose at age 16 years. Serogroup B vaccine can be considered in healthy adolescents and young adults. Quadrivalent conjugate meningococcal vaccines are recommended in infants and children who have underlying conditions that predispose them to developing invasive meningococcal infections, </w:t>
      </w:r>
      <w:r w:rsidRPr="00BB3883">
        <w:rPr>
          <w:rFonts w:cstheme="minorHAnsi"/>
        </w:rPr>
        <w:lastRenderedPageBreak/>
        <w:t>including complement component deficiencies and functional (sickle cell disease) or anatomic asplenia. Additional vaccine recommendations exist for outbreak control, travel to endemic regions, and for high-risk occupational settings.</w:t>
      </w:r>
    </w:p>
    <w:p w:rsidR="0080408F" w:rsidRPr="00BB3883" w:rsidRDefault="0080408F" w:rsidP="00BB3883">
      <w:pPr>
        <w:spacing w:after="0" w:line="240" w:lineRule="auto"/>
        <w:rPr>
          <w:rFonts w:cstheme="minorHAnsi"/>
        </w:rPr>
      </w:pPr>
      <w:r w:rsidRPr="00BB3883">
        <w:rPr>
          <w:rFonts w:cstheme="minorHAnsi"/>
        </w:rPr>
        <w:t>Children with underlying conditions can receive bivalent or quadrivalent conjugate vaccine as part of a multidose series starting at the 2-month-old health supervision visit. Boosters are given, typically at an interval of every 5 years for quadrivalent conjugate vaccine unless the initial series was given to a child younger than 7 years, in which case the first booster is recommended at a 3-year interval. Vaccination against serogroup B is also recommended for individuals with high-risk underlying conditions but not until 10 years of age.</w:t>
      </w:r>
    </w:p>
    <w:p w:rsidR="0080408F" w:rsidRPr="00BB3883" w:rsidRDefault="0080408F" w:rsidP="00BB3883">
      <w:pPr>
        <w:spacing w:after="0" w:line="240" w:lineRule="auto"/>
        <w:rPr>
          <w:rFonts w:cstheme="minorHAnsi"/>
        </w:rPr>
      </w:pPr>
      <w:r w:rsidRPr="00BB3883">
        <w:rPr>
          <w:rFonts w:cstheme="minorHAnsi"/>
        </w:rPr>
        <w:t>Conjugate vaccine would be recommended at 11 years of age if the child had no underlying conditions. Serogroup B vaccines are recommended for children with underlying conditions and are licensed for children 10 years of age or older; thus, serogroup B vaccine should not be administered at today’s visit or at the 2-year-old visit.</w:t>
      </w:r>
    </w:p>
    <w:p w:rsidR="0080408F" w:rsidRPr="00BB3883" w:rsidRDefault="0080408F" w:rsidP="00BB3883">
      <w:pPr>
        <w:spacing w:after="0" w:line="240" w:lineRule="auto"/>
        <w:rPr>
          <w:rFonts w:cstheme="minorHAnsi"/>
          <w:b/>
          <w:bCs/>
        </w:rPr>
      </w:pPr>
      <w:r w:rsidRPr="00BB3883">
        <w:rPr>
          <w:rFonts w:cstheme="minorHAnsi"/>
          <w:b/>
          <w:bCs/>
        </w:rPr>
        <w:t>PREP Pearls</w:t>
      </w:r>
    </w:p>
    <w:p w:rsidR="0080408F" w:rsidRPr="00BB3883" w:rsidRDefault="0080408F" w:rsidP="00BB3883">
      <w:pPr>
        <w:numPr>
          <w:ilvl w:val="0"/>
          <w:numId w:val="14"/>
        </w:numPr>
        <w:spacing w:after="0" w:line="240" w:lineRule="auto"/>
        <w:rPr>
          <w:rFonts w:cstheme="minorHAnsi"/>
        </w:rPr>
      </w:pPr>
      <w:r w:rsidRPr="00BB3883">
        <w:rPr>
          <w:rFonts w:cstheme="minorHAnsi"/>
        </w:rPr>
        <w:t>Quadrivalent conjugate meningococcal vaccine is recommended for all US children at the 11- to 12-year-old preadolescent visit, with a booster dose at age 16 years.</w:t>
      </w:r>
    </w:p>
    <w:p w:rsidR="0080408F" w:rsidRPr="00BB3883" w:rsidRDefault="0080408F" w:rsidP="00BB3883">
      <w:pPr>
        <w:numPr>
          <w:ilvl w:val="0"/>
          <w:numId w:val="15"/>
        </w:numPr>
        <w:spacing w:after="0" w:line="240" w:lineRule="auto"/>
        <w:rPr>
          <w:rFonts w:cstheme="minorHAnsi"/>
        </w:rPr>
      </w:pPr>
      <w:r w:rsidRPr="00BB3883">
        <w:rPr>
          <w:rFonts w:cstheme="minorHAnsi"/>
        </w:rPr>
        <w:t>Meningococcal vaccines are also recommended in infants and young children who have underlying conditions that predispose them to developing invasive meningococcal infections, including complement component deficiencies and functional (sickle cell disease) or anatomic asplenia.</w:t>
      </w:r>
    </w:p>
    <w:p w:rsidR="0080408F" w:rsidRPr="00BB3883" w:rsidRDefault="0080408F" w:rsidP="00BB3883">
      <w:pPr>
        <w:numPr>
          <w:ilvl w:val="0"/>
          <w:numId w:val="16"/>
        </w:numPr>
        <w:spacing w:after="0" w:line="240" w:lineRule="auto"/>
        <w:rPr>
          <w:rFonts w:cstheme="minorHAnsi"/>
        </w:rPr>
      </w:pPr>
      <w:r w:rsidRPr="00BB3883">
        <w:rPr>
          <w:rFonts w:cstheme="minorHAnsi"/>
        </w:rPr>
        <w:t>Vaccination against serogroup B is also recommended for individuals with high-risk underlying conditions but not until 10 years of age and can be considered in healthy adolescents and young adults.</w:t>
      </w:r>
    </w:p>
    <w:p w:rsidR="0080408F" w:rsidRPr="00BB3883" w:rsidRDefault="0080408F" w:rsidP="00BB3883">
      <w:pPr>
        <w:spacing w:after="0" w:line="240" w:lineRule="auto"/>
        <w:rPr>
          <w:rFonts w:cstheme="minorHAnsi"/>
          <w:b/>
          <w:bCs/>
        </w:rPr>
      </w:pPr>
      <w:r w:rsidRPr="00BB3883">
        <w:rPr>
          <w:rFonts w:cstheme="minorHAnsi"/>
          <w:b/>
          <w:bCs/>
        </w:rPr>
        <w:t>Suggested Readings</w:t>
      </w:r>
    </w:p>
    <w:p w:rsidR="0080408F" w:rsidRPr="00BB3883" w:rsidRDefault="0080408F" w:rsidP="00BB3883">
      <w:pPr>
        <w:numPr>
          <w:ilvl w:val="0"/>
          <w:numId w:val="20"/>
        </w:numPr>
        <w:spacing w:after="0" w:line="240" w:lineRule="auto"/>
        <w:rPr>
          <w:rFonts w:cstheme="minorHAnsi"/>
        </w:rPr>
      </w:pPr>
      <w:r w:rsidRPr="00BB3883">
        <w:rPr>
          <w:rFonts w:cstheme="minorHAnsi"/>
        </w:rPr>
        <w:t>American Academy of Pediatrics. Meningococcal infections. In: Kimberlin DW, Brady MT, Jackson MA, Long SS, eds. </w:t>
      </w:r>
      <w:r w:rsidRPr="00BB3883">
        <w:rPr>
          <w:rFonts w:cstheme="minorHAnsi"/>
          <w:i/>
          <w:iCs/>
        </w:rPr>
        <w:t>Red Book: 2018 Report of the Committee on Infectious Diseases. </w:t>
      </w:r>
      <w:r w:rsidRPr="00BB3883">
        <w:rPr>
          <w:rFonts w:cstheme="minorHAnsi"/>
        </w:rPr>
        <w:t>31st ed. Itasca, IL: American Academy of Pediatrics; 2018:550-561.</w:t>
      </w:r>
    </w:p>
    <w:p w:rsidR="0080408F" w:rsidRPr="00BB3883" w:rsidRDefault="0080408F" w:rsidP="00BB3883">
      <w:pPr>
        <w:numPr>
          <w:ilvl w:val="0"/>
          <w:numId w:val="20"/>
        </w:numPr>
        <w:spacing w:after="0" w:line="240" w:lineRule="auto"/>
        <w:rPr>
          <w:rFonts w:cstheme="minorHAnsi"/>
        </w:rPr>
      </w:pPr>
      <w:proofErr w:type="spellStart"/>
      <w:r w:rsidRPr="00BB3883">
        <w:rPr>
          <w:rFonts w:cstheme="minorHAnsi"/>
        </w:rPr>
        <w:t>Vaz</w:t>
      </w:r>
      <w:proofErr w:type="spellEnd"/>
      <w:r w:rsidRPr="00BB3883">
        <w:rPr>
          <w:rFonts w:cstheme="minorHAnsi"/>
        </w:rPr>
        <w:t xml:space="preserve"> LE. Meningococcal disease.</w:t>
      </w:r>
      <w:r w:rsidRPr="00BB3883">
        <w:rPr>
          <w:rFonts w:cstheme="minorHAnsi"/>
          <w:i/>
          <w:iCs/>
        </w:rPr>
        <w:t> </w:t>
      </w:r>
      <w:proofErr w:type="spellStart"/>
      <w:r w:rsidRPr="00BB3883">
        <w:rPr>
          <w:rFonts w:cstheme="minorHAnsi"/>
          <w:i/>
          <w:iCs/>
        </w:rPr>
        <w:t>Pediatr</w:t>
      </w:r>
      <w:proofErr w:type="spellEnd"/>
      <w:r w:rsidRPr="00BB3883">
        <w:rPr>
          <w:rFonts w:cstheme="minorHAnsi"/>
          <w:i/>
          <w:iCs/>
        </w:rPr>
        <w:t xml:space="preserve"> Rev. </w:t>
      </w:r>
      <w:r w:rsidRPr="00BB3883">
        <w:rPr>
          <w:rFonts w:cstheme="minorHAnsi"/>
        </w:rPr>
        <w:t xml:space="preserve">2017; 38(4):158-169. </w:t>
      </w:r>
      <w:proofErr w:type="spellStart"/>
      <w:r w:rsidRPr="00BB3883">
        <w:rPr>
          <w:rFonts w:cstheme="minorHAnsi"/>
        </w:rPr>
        <w:t>doi</w:t>
      </w:r>
      <w:proofErr w:type="spellEnd"/>
      <w:r w:rsidRPr="00BB3883">
        <w:rPr>
          <w:rFonts w:cstheme="minorHAnsi"/>
        </w:rPr>
        <w:t>: </w:t>
      </w:r>
      <w:hyperlink r:id="rId10" w:tgtFrame="_blank" w:history="1">
        <w:r w:rsidRPr="00BB3883">
          <w:rPr>
            <w:rStyle w:val="Hyperlink"/>
            <w:rFonts w:cstheme="minorHAnsi"/>
          </w:rPr>
          <w:t>10.1542/pir.2016-0131</w:t>
        </w:r>
      </w:hyperlink>
      <w:r w:rsidRPr="00BB3883">
        <w:rPr>
          <w:rFonts w:cstheme="minorHAnsi"/>
        </w:rPr>
        <w:t>.</w:t>
      </w:r>
    </w:p>
    <w:p w:rsidR="0080408F" w:rsidRPr="00BB3883" w:rsidRDefault="0080408F" w:rsidP="00BB3883">
      <w:pPr>
        <w:pStyle w:val="NormalWeb"/>
        <w:spacing w:before="0" w:beforeAutospacing="0" w:after="0" w:afterAutospacing="0"/>
        <w:rPr>
          <w:rFonts w:asciiTheme="minorHAnsi" w:hAnsiTheme="minorHAnsi" w:cstheme="minorHAnsi"/>
          <w:color w:val="000000"/>
          <w:sz w:val="22"/>
          <w:szCs w:val="22"/>
        </w:rPr>
      </w:pPr>
    </w:p>
    <w:p w:rsidR="0080408F" w:rsidRPr="00BB3883" w:rsidRDefault="0080408F"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5</w:t>
      </w:r>
    </w:p>
    <w:p w:rsidR="0080408F" w:rsidRPr="00BB3883" w:rsidRDefault="0080408F" w:rsidP="00BB3883">
      <w:pPr>
        <w:spacing w:after="0" w:line="240" w:lineRule="auto"/>
        <w:rPr>
          <w:rFonts w:cstheme="minorHAnsi"/>
        </w:rPr>
      </w:pPr>
      <w:r w:rsidRPr="00BB3883">
        <w:rPr>
          <w:rFonts w:cstheme="minorHAnsi"/>
        </w:rPr>
        <w:t>Hemoglobin SS disease occurs when both β-globin genes, located on 11p15.5, contain a point mutation resulting in the replacement of glutamic acid with valine at position 6. This replacement results in a qualitatively defective hemoglobin molecule that is prone to polymerization with resultant deformation of the red blood cell membrane. This, in turn, leads to an abbreviated red blood cell lifespan, chronic hemolysis, and frequent small-vessel occlusion with resultant end-organ damage.</w:t>
      </w:r>
    </w:p>
    <w:p w:rsidR="0080408F" w:rsidRPr="00BB3883" w:rsidRDefault="0080408F" w:rsidP="00BB3883">
      <w:pPr>
        <w:spacing w:after="0" w:line="240" w:lineRule="auto"/>
        <w:rPr>
          <w:rFonts w:cstheme="minorHAnsi"/>
        </w:rPr>
      </w:pPr>
      <w:r w:rsidRPr="00BB3883">
        <w:rPr>
          <w:rFonts w:cstheme="minorHAnsi"/>
        </w:rPr>
        <w:t xml:space="preserve">The child in this vignette with hemoglobin SS disease has fatigue, tachycardia, hypoxemia, severe anemia, mild thrombocytopenia, a marked </w:t>
      </w:r>
      <w:proofErr w:type="spellStart"/>
      <w:r w:rsidRPr="00BB3883">
        <w:rPr>
          <w:rFonts w:cstheme="minorHAnsi"/>
        </w:rPr>
        <w:t>reticulocytosis</w:t>
      </w:r>
      <w:proofErr w:type="spellEnd"/>
      <w:r w:rsidRPr="00BB3883">
        <w:rPr>
          <w:rFonts w:cstheme="minorHAnsi"/>
        </w:rPr>
        <w:t>, and significant splenomegaly. These findings are most consistent with a splenic sequestration crisis. In splenic sequestration, the sickling of the red blood cells obstructs splenic venules, resulting in the trapping of red blood cells and platelets in the spleen, with engorgement and enlargement of the spleen. The trapping can be severe and lead to a rapid drop in hemoglobin level with clinical decompensation and death. Teaching the parents of children with sickle cell disease how to palpate the spleen daily ranks among the medical interventions most responsible for reducing mortality among young patients with sickle cell disease. The most appropriate management of a splenic sequestration crisis is to transfuse packed red blood cells in small aliquots. Unlike other crises that increase the degree of red blood cell hemolysis, the red blood cells are not destroyed in splenic sequestration, just trapped. With the infusion of healthy red blood cells, the vascular congestion in the spleen is relieved, and the trapped blood re-enters the circulation. There is often, therefore, a disproportionate rise in hemoglobin following a small transfusion of red blood cells. Because the erythrocytes released from the spleen contain hemoglobin SS, it is important to be cautious because an excessive rise in hemoglobin will increase the viscosity of the blood and the risk of stroke.</w:t>
      </w:r>
    </w:p>
    <w:p w:rsidR="0080408F" w:rsidRPr="00BB3883" w:rsidRDefault="0080408F" w:rsidP="00BB3883">
      <w:pPr>
        <w:spacing w:after="0" w:line="240" w:lineRule="auto"/>
        <w:rPr>
          <w:rFonts w:cstheme="minorHAnsi"/>
        </w:rPr>
      </w:pPr>
      <w:r w:rsidRPr="00BB3883">
        <w:rPr>
          <w:rFonts w:cstheme="minorHAnsi"/>
        </w:rPr>
        <w:t xml:space="preserve">The use of crystalloid boluses of fluid in children with sickle cell disease should be treated judiciously and avoided if possible until the cause of illness is ascertained. In this case, increasing the intravascular fluid volume in the context of a severe anemia could precipitate a state of high-output cardiac failure. Children with sickle cell disease are functionally </w:t>
      </w:r>
      <w:proofErr w:type="spellStart"/>
      <w:r w:rsidRPr="00BB3883">
        <w:rPr>
          <w:rFonts w:cstheme="minorHAnsi"/>
        </w:rPr>
        <w:t>asplenic</w:t>
      </w:r>
      <w:proofErr w:type="spellEnd"/>
      <w:r w:rsidRPr="00BB3883">
        <w:rPr>
          <w:rFonts w:cstheme="minorHAnsi"/>
        </w:rPr>
        <w:t>, and therefore any fever should be treated as if it is caused by bacteremia until proven otherwise. All children with sickle cell disease and fever should have a blood culture drawn and broad-spectrum antibiotics administered until the cultures are negative. In an otherwise well-appearing patient with sickle cell disease and fever, ceftriaxone provides adequate coverage. The child in the vignette, however, did not have a fever, and has another, more pressing reason for appearing ill. While the child is hypoxemic, the first step to improve oxygenation would be to administer oxygen by nasal cannula and to administer red blood cells to treat the underlying cause of the hypoxemia.</w:t>
      </w:r>
    </w:p>
    <w:p w:rsidR="0080408F" w:rsidRPr="00BB3883" w:rsidRDefault="0080408F" w:rsidP="00BB3883">
      <w:pPr>
        <w:spacing w:after="0" w:line="240" w:lineRule="auto"/>
        <w:rPr>
          <w:rFonts w:cstheme="minorHAnsi"/>
          <w:b/>
          <w:bCs/>
        </w:rPr>
      </w:pPr>
      <w:r w:rsidRPr="00BB3883">
        <w:rPr>
          <w:rFonts w:cstheme="minorHAnsi"/>
          <w:b/>
          <w:bCs/>
        </w:rPr>
        <w:lastRenderedPageBreak/>
        <w:t>PREP Pearls</w:t>
      </w:r>
    </w:p>
    <w:p w:rsidR="0080408F" w:rsidRPr="00BB3883" w:rsidRDefault="0080408F" w:rsidP="00BB3883">
      <w:pPr>
        <w:numPr>
          <w:ilvl w:val="0"/>
          <w:numId w:val="21"/>
        </w:numPr>
        <w:spacing w:after="0" w:line="240" w:lineRule="auto"/>
        <w:rPr>
          <w:rFonts w:cstheme="minorHAnsi"/>
        </w:rPr>
      </w:pPr>
      <w:r w:rsidRPr="00BB3883">
        <w:rPr>
          <w:rFonts w:cstheme="minorHAnsi"/>
        </w:rPr>
        <w:t>The most appropriate management of a splenic sequestration crisis is to transfuse packed red blood cells in small aliquots.</w:t>
      </w:r>
    </w:p>
    <w:p w:rsidR="0080408F" w:rsidRPr="00BB3883" w:rsidRDefault="0080408F" w:rsidP="00BB3883">
      <w:pPr>
        <w:numPr>
          <w:ilvl w:val="0"/>
          <w:numId w:val="22"/>
        </w:numPr>
        <w:spacing w:after="0" w:line="240" w:lineRule="auto"/>
        <w:rPr>
          <w:rFonts w:cstheme="minorHAnsi"/>
        </w:rPr>
      </w:pPr>
      <w:r w:rsidRPr="00BB3883">
        <w:rPr>
          <w:rFonts w:cstheme="minorHAnsi"/>
        </w:rPr>
        <w:t>The use of crystalloid boluses of fluid in children with sickle cell disease should be treated judiciously and avoided if possible until the cause of illness is ascertained.</w:t>
      </w:r>
    </w:p>
    <w:p w:rsidR="00926390" w:rsidRPr="00BB3883" w:rsidRDefault="0080408F" w:rsidP="00BB3883">
      <w:pPr>
        <w:numPr>
          <w:ilvl w:val="0"/>
          <w:numId w:val="23"/>
        </w:numPr>
        <w:spacing w:after="0" w:line="240" w:lineRule="auto"/>
        <w:rPr>
          <w:rFonts w:cstheme="minorHAnsi"/>
        </w:rPr>
      </w:pPr>
      <w:r w:rsidRPr="00BB3883">
        <w:rPr>
          <w:rFonts w:cstheme="minorHAnsi"/>
        </w:rPr>
        <w:t xml:space="preserve">Children with sickle cell disease are functionally </w:t>
      </w:r>
      <w:proofErr w:type="spellStart"/>
      <w:r w:rsidRPr="00BB3883">
        <w:rPr>
          <w:rFonts w:cstheme="minorHAnsi"/>
        </w:rPr>
        <w:t>asplenic</w:t>
      </w:r>
      <w:proofErr w:type="spellEnd"/>
      <w:r w:rsidRPr="00BB3883">
        <w:rPr>
          <w:rFonts w:cstheme="minorHAnsi"/>
        </w:rPr>
        <w:t>, and therefore any fever should be treated as if it is</w:t>
      </w:r>
      <w:r w:rsidR="005D5219" w:rsidRPr="00BB3883">
        <w:rPr>
          <w:rFonts w:cstheme="minorHAnsi"/>
        </w:rPr>
        <w:t xml:space="preserve"> </w:t>
      </w:r>
      <w:r w:rsidRPr="00BB3883">
        <w:rPr>
          <w:rFonts w:cstheme="minorHAnsi"/>
        </w:rPr>
        <w:t>caused by bacteremia until proven otherwise.</w:t>
      </w:r>
    </w:p>
    <w:p w:rsidR="0080408F" w:rsidRPr="00BB3883" w:rsidRDefault="0080408F" w:rsidP="00BB3883">
      <w:pPr>
        <w:spacing w:after="0" w:line="240" w:lineRule="auto"/>
        <w:rPr>
          <w:rFonts w:cstheme="minorHAnsi"/>
          <w:b/>
          <w:bCs/>
        </w:rPr>
      </w:pPr>
      <w:r w:rsidRPr="00BB3883">
        <w:rPr>
          <w:rFonts w:cstheme="minorHAnsi"/>
          <w:b/>
          <w:bCs/>
        </w:rPr>
        <w:t>Suggested Readings</w:t>
      </w:r>
    </w:p>
    <w:p w:rsidR="0080408F" w:rsidRPr="00BB3883" w:rsidRDefault="0080408F" w:rsidP="00BB3883">
      <w:pPr>
        <w:numPr>
          <w:ilvl w:val="0"/>
          <w:numId w:val="27"/>
        </w:numPr>
        <w:spacing w:after="0" w:line="240" w:lineRule="auto"/>
        <w:rPr>
          <w:rFonts w:cstheme="minorHAnsi"/>
        </w:rPr>
      </w:pPr>
      <w:proofErr w:type="spellStart"/>
      <w:r w:rsidRPr="00BB3883">
        <w:rPr>
          <w:rFonts w:cstheme="minorHAnsi"/>
        </w:rPr>
        <w:t>Brousse</w:t>
      </w:r>
      <w:proofErr w:type="spellEnd"/>
      <w:r w:rsidRPr="00BB3883">
        <w:rPr>
          <w:rFonts w:cstheme="minorHAnsi"/>
        </w:rPr>
        <w:t xml:space="preserve"> V, Buffet P, Rees D. The spleen and sickle cell disease: the sick(led) spleen. </w:t>
      </w:r>
      <w:r w:rsidRPr="00BB3883">
        <w:rPr>
          <w:rFonts w:cstheme="minorHAnsi"/>
          <w:i/>
          <w:iCs/>
        </w:rPr>
        <w:t xml:space="preserve">Br J </w:t>
      </w:r>
      <w:proofErr w:type="spellStart"/>
      <w:r w:rsidRPr="00BB3883">
        <w:rPr>
          <w:rFonts w:cstheme="minorHAnsi"/>
          <w:i/>
          <w:iCs/>
        </w:rPr>
        <w:t>Haematol</w:t>
      </w:r>
      <w:proofErr w:type="spellEnd"/>
      <w:r w:rsidRPr="00BB3883">
        <w:rPr>
          <w:rFonts w:cstheme="minorHAnsi"/>
          <w:i/>
          <w:iCs/>
        </w:rPr>
        <w:t>.</w:t>
      </w:r>
      <w:r w:rsidRPr="00BB3883">
        <w:rPr>
          <w:rFonts w:cstheme="minorHAnsi"/>
        </w:rPr>
        <w:t xml:space="preserve"> 2014;166(2):165-76. </w:t>
      </w:r>
      <w:proofErr w:type="spellStart"/>
      <w:r w:rsidRPr="00BB3883">
        <w:rPr>
          <w:rFonts w:cstheme="minorHAnsi"/>
        </w:rPr>
        <w:t>doi</w:t>
      </w:r>
      <w:proofErr w:type="spellEnd"/>
      <w:r w:rsidRPr="00BB3883">
        <w:rPr>
          <w:rFonts w:cstheme="minorHAnsi"/>
        </w:rPr>
        <w:t>: </w:t>
      </w:r>
      <w:hyperlink r:id="rId11" w:tgtFrame="_blank" w:history="1">
        <w:r w:rsidRPr="00BB3883">
          <w:rPr>
            <w:rStyle w:val="Hyperlink"/>
            <w:rFonts w:cstheme="minorHAnsi"/>
          </w:rPr>
          <w:t>10.1111/bjh.12950</w:t>
        </w:r>
      </w:hyperlink>
      <w:r w:rsidRPr="00BB3883">
        <w:rPr>
          <w:rFonts w:cstheme="minorHAnsi"/>
        </w:rPr>
        <w:t>.</w:t>
      </w:r>
    </w:p>
    <w:p w:rsidR="0080408F" w:rsidRPr="00BB3883" w:rsidRDefault="0080408F" w:rsidP="00BB3883">
      <w:pPr>
        <w:numPr>
          <w:ilvl w:val="0"/>
          <w:numId w:val="27"/>
        </w:numPr>
        <w:spacing w:after="0" w:line="240" w:lineRule="auto"/>
        <w:rPr>
          <w:rFonts w:cstheme="minorHAnsi"/>
        </w:rPr>
      </w:pPr>
      <w:proofErr w:type="spellStart"/>
      <w:r w:rsidRPr="00BB3883">
        <w:rPr>
          <w:rFonts w:cstheme="minorHAnsi"/>
        </w:rPr>
        <w:t>Chitlur</w:t>
      </w:r>
      <w:proofErr w:type="spellEnd"/>
      <w:r w:rsidRPr="00BB3883">
        <w:rPr>
          <w:rFonts w:cstheme="minorHAnsi"/>
        </w:rPr>
        <w:t xml:space="preserve"> M, </w:t>
      </w:r>
      <w:proofErr w:type="spellStart"/>
      <w:r w:rsidRPr="00BB3883">
        <w:rPr>
          <w:rFonts w:cstheme="minorHAnsi"/>
        </w:rPr>
        <w:t>Sarnaik</w:t>
      </w:r>
      <w:proofErr w:type="spellEnd"/>
      <w:r w:rsidRPr="00BB3883">
        <w:rPr>
          <w:rFonts w:cstheme="minorHAnsi"/>
        </w:rPr>
        <w:t xml:space="preserve"> SA. Hemoglobinopathies and sickle cell disease. In: McInerny TK, Adam HM, Campbell DE, DeWitt TG, Foy JM, </w:t>
      </w:r>
      <w:proofErr w:type="spellStart"/>
      <w:r w:rsidRPr="00BB3883">
        <w:rPr>
          <w:rFonts w:cstheme="minorHAnsi"/>
        </w:rPr>
        <w:t>Kamat</w:t>
      </w:r>
      <w:proofErr w:type="spellEnd"/>
      <w:r w:rsidRPr="00BB3883">
        <w:rPr>
          <w:rFonts w:cstheme="minorHAnsi"/>
        </w:rPr>
        <w:t xml:space="preserve"> DM, eds. </w:t>
      </w:r>
      <w:r w:rsidRPr="00BB3883">
        <w:rPr>
          <w:rFonts w:cstheme="minorHAnsi"/>
          <w:i/>
          <w:iCs/>
        </w:rPr>
        <w:t>American Academy of Pediatrics Textbook of Pediatric Care</w:t>
      </w:r>
      <w:r w:rsidRPr="00BB3883">
        <w:rPr>
          <w:rFonts w:cstheme="minorHAnsi"/>
        </w:rPr>
        <w:t>. 2nd ed. Elk Grove Village, IL: American Academy of Pediatrics; 2017:2117-2125. </w:t>
      </w:r>
      <w:hyperlink r:id="rId12" w:tgtFrame="_blank" w:history="1">
        <w:r w:rsidRPr="00BB3883">
          <w:rPr>
            <w:rStyle w:val="Hyperlink"/>
            <w:rFonts w:cstheme="minorHAnsi"/>
          </w:rPr>
          <w:t>Pediatric Care Online</w:t>
        </w:r>
      </w:hyperlink>
      <w:r w:rsidRPr="00BB3883">
        <w:rPr>
          <w:rFonts w:cstheme="minorHAnsi"/>
        </w:rPr>
        <w:t>.</w:t>
      </w:r>
    </w:p>
    <w:p w:rsidR="0080408F" w:rsidRPr="00BB3883" w:rsidRDefault="0080408F" w:rsidP="00BB3883">
      <w:pPr>
        <w:numPr>
          <w:ilvl w:val="0"/>
          <w:numId w:val="27"/>
        </w:numPr>
        <w:spacing w:after="0" w:line="240" w:lineRule="auto"/>
        <w:rPr>
          <w:rFonts w:cstheme="minorHAnsi"/>
        </w:rPr>
      </w:pPr>
      <w:proofErr w:type="spellStart"/>
      <w:r w:rsidRPr="00BB3883">
        <w:rPr>
          <w:rFonts w:cstheme="minorHAnsi"/>
        </w:rPr>
        <w:t>McCavit</w:t>
      </w:r>
      <w:proofErr w:type="spellEnd"/>
      <w:r w:rsidRPr="00BB3883">
        <w:rPr>
          <w:rFonts w:cstheme="minorHAnsi"/>
        </w:rPr>
        <w:t xml:space="preserve"> TL. Sickle cell disease.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2012;33(5):195-204. doi:</w:t>
      </w:r>
      <w:hyperlink r:id="rId13" w:tgtFrame="_blank" w:history="1">
        <w:r w:rsidRPr="00BB3883">
          <w:rPr>
            <w:rStyle w:val="Hyperlink"/>
            <w:rFonts w:cstheme="minorHAnsi"/>
          </w:rPr>
          <w:t>10.1542/pir.33-5-195</w:t>
        </w:r>
      </w:hyperlink>
      <w:r w:rsidRPr="00BB3883">
        <w:rPr>
          <w:rFonts w:cstheme="minorHAnsi"/>
        </w:rPr>
        <w:t>.</w:t>
      </w:r>
    </w:p>
    <w:p w:rsidR="0080408F" w:rsidRPr="00BB3883" w:rsidRDefault="0080408F" w:rsidP="00BB3883">
      <w:pPr>
        <w:numPr>
          <w:ilvl w:val="0"/>
          <w:numId w:val="27"/>
        </w:numPr>
        <w:spacing w:after="0" w:line="240" w:lineRule="auto"/>
        <w:rPr>
          <w:rFonts w:cstheme="minorHAnsi"/>
        </w:rPr>
      </w:pPr>
      <w:proofErr w:type="spellStart"/>
      <w:r w:rsidRPr="00BB3883">
        <w:rPr>
          <w:rFonts w:cstheme="minorHAnsi"/>
        </w:rPr>
        <w:t>Piel</w:t>
      </w:r>
      <w:proofErr w:type="spellEnd"/>
      <w:r w:rsidRPr="00BB3883">
        <w:rPr>
          <w:rFonts w:cstheme="minorHAnsi"/>
        </w:rPr>
        <w:t xml:space="preserve"> FB, Steinberg MH, Rees DC. Sickle cell disease.</w:t>
      </w:r>
      <w:r w:rsidRPr="00BB3883">
        <w:rPr>
          <w:rFonts w:cstheme="minorHAnsi"/>
          <w:i/>
          <w:iCs/>
        </w:rPr>
        <w:t xml:space="preserve"> N </w:t>
      </w:r>
      <w:proofErr w:type="spellStart"/>
      <w:r w:rsidRPr="00BB3883">
        <w:rPr>
          <w:rFonts w:cstheme="minorHAnsi"/>
          <w:i/>
          <w:iCs/>
        </w:rPr>
        <w:t>Engl</w:t>
      </w:r>
      <w:proofErr w:type="spellEnd"/>
      <w:r w:rsidRPr="00BB3883">
        <w:rPr>
          <w:rFonts w:cstheme="minorHAnsi"/>
          <w:i/>
          <w:iCs/>
        </w:rPr>
        <w:t xml:space="preserve"> J Med.</w:t>
      </w:r>
      <w:r w:rsidRPr="00BB3883">
        <w:rPr>
          <w:rFonts w:cstheme="minorHAnsi"/>
        </w:rPr>
        <w:t> 2017;376(16):1561-1573. doi:</w:t>
      </w:r>
      <w:hyperlink r:id="rId14" w:tgtFrame="_blank" w:history="1">
        <w:r w:rsidRPr="00BB3883">
          <w:rPr>
            <w:rStyle w:val="Hyperlink"/>
            <w:rFonts w:cstheme="minorHAnsi"/>
          </w:rPr>
          <w:t>10.1056/NEJMra1510865</w:t>
        </w:r>
      </w:hyperlink>
      <w:r w:rsidRPr="00BB3883">
        <w:rPr>
          <w:rFonts w:cstheme="minorHAnsi"/>
        </w:rPr>
        <w:t>.</w:t>
      </w:r>
    </w:p>
    <w:p w:rsidR="0080408F" w:rsidRPr="00BB3883" w:rsidRDefault="0080408F" w:rsidP="00BB3883">
      <w:pPr>
        <w:pStyle w:val="NormalWeb"/>
        <w:spacing w:before="0" w:beforeAutospacing="0" w:after="0" w:afterAutospacing="0"/>
        <w:rPr>
          <w:rFonts w:asciiTheme="minorHAnsi" w:hAnsiTheme="minorHAnsi" w:cstheme="minorHAnsi"/>
          <w:color w:val="000000"/>
          <w:sz w:val="22"/>
          <w:szCs w:val="22"/>
        </w:rPr>
      </w:pPr>
    </w:p>
    <w:p w:rsidR="0080408F" w:rsidRPr="00BB3883" w:rsidRDefault="0080408F"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6</w:t>
      </w:r>
    </w:p>
    <w:p w:rsidR="0080408F" w:rsidRPr="00BB3883" w:rsidRDefault="0080408F" w:rsidP="00BB3883">
      <w:pPr>
        <w:spacing w:after="0" w:line="240" w:lineRule="auto"/>
        <w:rPr>
          <w:rFonts w:cstheme="minorHAnsi"/>
        </w:rPr>
      </w:pPr>
      <w:r w:rsidRPr="00BB3883">
        <w:rPr>
          <w:rFonts w:cstheme="minorHAnsi"/>
        </w:rPr>
        <w:t>The patient in this vignette has bacterial meningitis most likely caused by </w:t>
      </w:r>
      <w:r w:rsidRPr="00BB3883">
        <w:rPr>
          <w:rFonts w:cstheme="minorHAnsi"/>
          <w:i/>
          <w:iCs/>
        </w:rPr>
        <w:t>Streptococcus pneumoniae</w:t>
      </w:r>
      <w:r w:rsidRPr="00BB3883">
        <w:rPr>
          <w:rFonts w:cstheme="minorHAnsi"/>
        </w:rPr>
        <w:t>. Children with sickle cell disease are predisposed to invasive bacterial infections from encapsulated organisms such as </w:t>
      </w:r>
      <w:r w:rsidRPr="00BB3883">
        <w:rPr>
          <w:rFonts w:cstheme="minorHAnsi"/>
          <w:i/>
          <w:iCs/>
        </w:rPr>
        <w:t>S pneumoniae</w:t>
      </w:r>
      <w:r w:rsidRPr="00BB3883">
        <w:rPr>
          <w:rFonts w:cstheme="minorHAnsi"/>
        </w:rPr>
        <w:t>, </w:t>
      </w:r>
      <w:proofErr w:type="spellStart"/>
      <w:r w:rsidRPr="00BB3883">
        <w:rPr>
          <w:rFonts w:cstheme="minorHAnsi"/>
          <w:i/>
          <w:iCs/>
        </w:rPr>
        <w:t>Haemophilus</w:t>
      </w:r>
      <w:proofErr w:type="spellEnd"/>
      <w:r w:rsidRPr="00BB3883">
        <w:rPr>
          <w:rFonts w:cstheme="minorHAnsi"/>
          <w:i/>
          <w:iCs/>
        </w:rPr>
        <w:t xml:space="preserve"> influenzae</w:t>
      </w:r>
      <w:r w:rsidRPr="00BB3883">
        <w:rPr>
          <w:rFonts w:cstheme="minorHAnsi"/>
        </w:rPr>
        <w:t> type b (Hib), and nontyphoidal </w:t>
      </w:r>
      <w:r w:rsidRPr="00BB3883">
        <w:rPr>
          <w:rFonts w:cstheme="minorHAnsi"/>
          <w:i/>
          <w:iCs/>
        </w:rPr>
        <w:t>Salmonella </w:t>
      </w:r>
      <w:r w:rsidRPr="00BB3883">
        <w:rPr>
          <w:rFonts w:cstheme="minorHAnsi"/>
        </w:rPr>
        <w:t>due to functional asplenia, which results in diminished antibody-mediated phagocytosis. Of these organisms, infection with </w:t>
      </w:r>
      <w:r w:rsidRPr="00BB3883">
        <w:rPr>
          <w:rFonts w:cstheme="minorHAnsi"/>
          <w:i/>
          <w:iCs/>
        </w:rPr>
        <w:t>S pneumoniae</w:t>
      </w:r>
      <w:r w:rsidRPr="00BB3883">
        <w:rPr>
          <w:rFonts w:cstheme="minorHAnsi"/>
        </w:rPr>
        <w:t> occurs most frequently. Clinical manifestations of encapsulated bacteria vary in severity in both healthy and immunocompromised hosts and include bacteremia, pneumonia, otitis media, upper respiratory tract infections, and meningitis. Prophylactic antibiotics and immunization are critical aspects of preventive care in patients with sickle cell disease. However, a high index of suspicion is warranted, despite preventive measures, because these invasive bacterial infections can be rapidly progressive with significant morbidity and mortality.</w:t>
      </w:r>
    </w:p>
    <w:p w:rsidR="0080408F" w:rsidRPr="00BB3883" w:rsidRDefault="0080408F" w:rsidP="00BB3883">
      <w:pPr>
        <w:spacing w:after="0" w:line="240" w:lineRule="auto"/>
        <w:rPr>
          <w:rFonts w:cstheme="minorHAnsi"/>
        </w:rPr>
      </w:pPr>
      <w:r w:rsidRPr="00BB3883">
        <w:rPr>
          <w:rFonts w:cstheme="minorHAnsi"/>
        </w:rPr>
        <w:t>Bacterial meningitis is a life-threatening infection that often presents with a relatively rapid onset of signs and symptoms. The condition is clinically characterized by fever, lethargy, and nuchal rigidity progressing to seizures, coma, and signs and symptoms of elevated intracranial pressure. Prompt recognition and initiation of treatment is crucial because the long-term neurological sequelae can be significant. In children suspected of having bacterial meningitis, a rapid assessment focused on stabilization and airway protection should be undertaken, especially when altered mental status is present (</w:t>
      </w:r>
      <w:hyperlink r:id="rId15" w:tooltip="PREP® PDF" w:history="1">
        <w:r w:rsidRPr="00BB3883">
          <w:rPr>
            <w:rStyle w:val="Hyperlink"/>
            <w:rFonts w:cstheme="minorHAnsi"/>
            <w:b/>
            <w:bCs/>
          </w:rPr>
          <w:t>Item C191A</w:t>
        </w:r>
      </w:hyperlink>
      <w:r w:rsidRPr="00BB3883">
        <w:rPr>
          <w:rFonts w:cstheme="minorHAnsi"/>
        </w:rPr>
        <w:t>). At the time of initial presentation, urgent head imaging is warranted if papilledema, focal neurological deficits, immune deficiency, or a pre-existing structural central nervous system condition is present, but imaging can otherwise be deferred. Lumbar puncture should be performed unless there is evidence of increased intracranial pressure, coagulopathy, or hemodynamic instability. Empiric antibiotic therapy should be initiated as quickly as possible, even prior to diagnostic testing if there will be any anticipated delay. Dexamethasone has been used as adjunct therapy to diminish the inflammatory response to the infection and reduce potential long-term sequelae of hearing loss. Although its use is controversial in the pediatric population, the American Academy of Pediatrics Committee on Infectious Disease has noted a potential benefit of dexamethasone in reducing hearing loss in Hib meningitis. If administered, steroids should be given with the initial dose of antibiotics because no benefit has been seen if given more than 1 hour after antibiotics. Caution is recommended in using corticosteroids in patients with sickle cell disease.</w:t>
      </w:r>
    </w:p>
    <w:p w:rsidR="0080408F" w:rsidRPr="00BB3883" w:rsidRDefault="0080408F" w:rsidP="00BB3883">
      <w:pPr>
        <w:spacing w:after="0" w:line="240" w:lineRule="auto"/>
        <w:rPr>
          <w:rFonts w:cstheme="minorHAnsi"/>
        </w:rPr>
      </w:pPr>
      <w:r w:rsidRPr="00BB3883">
        <w:rPr>
          <w:rFonts w:cstheme="minorHAnsi"/>
        </w:rPr>
        <w:t>Cerebrospinal fluid (CSF) analysis is a key diagnostic study that provides critical information on the likely source of infection as well as potential isolation of the pathogen (</w:t>
      </w:r>
      <w:hyperlink r:id="rId16" w:tooltip="PREP® Multimedia" w:history="1">
        <w:r w:rsidRPr="00BB3883">
          <w:rPr>
            <w:rStyle w:val="Hyperlink"/>
            <w:rFonts w:cstheme="minorHAnsi"/>
            <w:b/>
            <w:bCs/>
          </w:rPr>
          <w:t>Item C191B</w:t>
        </w:r>
      </w:hyperlink>
      <w:r w:rsidRPr="00BB3883">
        <w:rPr>
          <w:rFonts w:cstheme="minorHAnsi"/>
        </w:rPr>
        <w:t>). In bacterial meningitis, the CSF will demonstrate a neutrophilic pleocytosis with an elevated protein level and low glucose level. Antibiotic pretreatment reduces the likelihood of isolating a pathogen on culture, however it will not affect the CSF cell counts or identification of the organism by molecular methods and is unlikely to obscure the diagnosis.</w:t>
      </w:r>
    </w:p>
    <w:p w:rsidR="0080408F" w:rsidRPr="00BB3883" w:rsidRDefault="0080408F" w:rsidP="00BB3883">
      <w:pPr>
        <w:spacing w:after="0" w:line="240" w:lineRule="auto"/>
        <w:rPr>
          <w:rFonts w:cstheme="minorHAnsi"/>
        </w:rPr>
      </w:pPr>
      <w:proofErr w:type="spellStart"/>
      <w:r w:rsidRPr="00BB3883">
        <w:rPr>
          <w:rFonts w:cstheme="minorHAnsi"/>
          <w:i/>
          <w:iCs/>
        </w:rPr>
        <w:t>Haemophilus</w:t>
      </w:r>
      <w:proofErr w:type="spellEnd"/>
      <w:r w:rsidRPr="00BB3883">
        <w:rPr>
          <w:rFonts w:cstheme="minorHAnsi"/>
          <w:i/>
          <w:iCs/>
        </w:rPr>
        <w:t xml:space="preserve"> influenzae</w:t>
      </w:r>
      <w:r w:rsidRPr="00BB3883">
        <w:rPr>
          <w:rFonts w:cstheme="minorHAnsi"/>
        </w:rPr>
        <w:t> is an encapsulated organism that is a common cause of bacterial meningitis in children and can have a similar presentation to </w:t>
      </w:r>
      <w:r w:rsidRPr="00BB3883">
        <w:rPr>
          <w:rFonts w:cstheme="minorHAnsi"/>
          <w:i/>
          <w:iCs/>
        </w:rPr>
        <w:t>S pneumoniae</w:t>
      </w:r>
      <w:r w:rsidRPr="00BB3883">
        <w:rPr>
          <w:rFonts w:cstheme="minorHAnsi"/>
        </w:rPr>
        <w:t>, making it difficult to differentiate solely on a clinical basis. While the patient in the vignette is at risk for both, </w:t>
      </w:r>
      <w:r w:rsidRPr="00BB3883">
        <w:rPr>
          <w:rFonts w:cstheme="minorHAnsi"/>
          <w:i/>
          <w:iCs/>
        </w:rPr>
        <w:t>S pneumoniae</w:t>
      </w:r>
      <w:r w:rsidRPr="00BB3883">
        <w:rPr>
          <w:rFonts w:cstheme="minorHAnsi"/>
        </w:rPr>
        <w:t xml:space="preserve"> is the more likely bacterial pathogen to cause childhood meningitis since the introduction of Hib vaccination. Herpes simplex virus can result in a devastating meningoencephalitis with a predilection for the temporal lobes, which often presents with rapid development of </w:t>
      </w:r>
      <w:r w:rsidRPr="00BB3883">
        <w:rPr>
          <w:rFonts w:cstheme="minorHAnsi"/>
        </w:rPr>
        <w:lastRenderedPageBreak/>
        <w:t>headache, lethargy, refractory seizures, and personality changes. Magnetic resonance imaging can demonstrate flair hyperintensities in the bilateral temporal lobes, with electroencephalography showing periodic lateralizing epileptiform discharges. Cerebrospinal fluid analysis demonstrates a lymphocytic pleocytosis with xanthochromia and identification of the virus by polymerase chain reaction testing. Acyclovir is the antiviral agent of choice. Children with sickle cell disease remain at risk for </w:t>
      </w:r>
      <w:r w:rsidRPr="00BB3883">
        <w:rPr>
          <w:rFonts w:cstheme="minorHAnsi"/>
          <w:i/>
          <w:iCs/>
        </w:rPr>
        <w:t>Salmonella</w:t>
      </w:r>
      <w:r w:rsidRPr="00BB3883">
        <w:rPr>
          <w:rFonts w:cstheme="minorHAnsi"/>
        </w:rPr>
        <w:t>, which typically causes gastroenteritis and bacteremia but in severe cases can result in meningitis and other invasive bacterial infections. Invasive disease is more commonly seen in infants younger than 3 months.</w:t>
      </w:r>
    </w:p>
    <w:p w:rsidR="0080408F" w:rsidRPr="00BB3883" w:rsidRDefault="0080408F" w:rsidP="00BB3883">
      <w:pPr>
        <w:spacing w:after="0" w:line="240" w:lineRule="auto"/>
        <w:rPr>
          <w:rFonts w:cstheme="minorHAnsi"/>
        </w:rPr>
      </w:pPr>
      <w:r w:rsidRPr="00BB3883">
        <w:rPr>
          <w:rFonts w:cstheme="minorHAnsi"/>
        </w:rPr>
        <w:t>In addition to early empiric broad-spectrum antibiotic treatment, management of bacterial meningitis is supportive and is frequently provided in the intensive care unit setting. Children should be closely monitored for decline in neurological status, the development of seizures, syndrome of inappropriate secretion of antidiuretic hormone, Cushing’s triad, and cerebral infarction. Up to one-third of children with bacterial meningitis develop subdural effusions that do not require surgical intervention unless they develop into subdural empyema. Prognosis varies with pathogen and certain clinical features. Poorer prognosis is suggested by a younger age, large bacterial burden, decreased level of consciousness at presentation, and infection with </w:t>
      </w:r>
      <w:r w:rsidRPr="00BB3883">
        <w:rPr>
          <w:rFonts w:cstheme="minorHAnsi"/>
          <w:i/>
          <w:iCs/>
        </w:rPr>
        <w:t>S pneumoniae</w:t>
      </w:r>
      <w:r w:rsidRPr="00BB3883">
        <w:rPr>
          <w:rFonts w:cstheme="minorHAnsi"/>
        </w:rPr>
        <w:t>. Mortality rates range from 5% to 15%. Long-term neurological sequelae in survivors can include hearing impairment (in particular with </w:t>
      </w:r>
      <w:r w:rsidRPr="00BB3883">
        <w:rPr>
          <w:rFonts w:cstheme="minorHAnsi"/>
          <w:i/>
          <w:iCs/>
        </w:rPr>
        <w:t>S pneumoniae</w:t>
      </w:r>
      <w:r w:rsidRPr="00BB3883">
        <w:rPr>
          <w:rFonts w:cstheme="minorHAnsi"/>
        </w:rPr>
        <w:t> and Hib), vestibular injury, developmental delay, epilepsy, hydrocephalus, hemi- or quadriparesis, hypothalamic dysfunction, or cortical blindness. Recovery occurs over weeks to months and requires supportive rehabilitative and educational services as well as close long-term follow up.</w:t>
      </w:r>
    </w:p>
    <w:p w:rsidR="0080408F" w:rsidRPr="00BB3883" w:rsidRDefault="0080408F" w:rsidP="00BB3883">
      <w:pPr>
        <w:spacing w:after="0" w:line="240" w:lineRule="auto"/>
        <w:rPr>
          <w:rFonts w:cstheme="minorHAnsi"/>
          <w:b/>
          <w:bCs/>
        </w:rPr>
      </w:pPr>
      <w:r w:rsidRPr="00BB3883">
        <w:rPr>
          <w:rFonts w:cstheme="minorHAnsi"/>
          <w:b/>
          <w:bCs/>
        </w:rPr>
        <w:t>PREP Pearls</w:t>
      </w:r>
    </w:p>
    <w:p w:rsidR="0080408F" w:rsidRPr="00BB3883" w:rsidRDefault="0080408F" w:rsidP="00BB3883">
      <w:pPr>
        <w:numPr>
          <w:ilvl w:val="0"/>
          <w:numId w:val="28"/>
        </w:numPr>
        <w:spacing w:after="0" w:line="240" w:lineRule="auto"/>
        <w:rPr>
          <w:rFonts w:cstheme="minorHAnsi"/>
        </w:rPr>
      </w:pPr>
      <w:r w:rsidRPr="00BB3883">
        <w:rPr>
          <w:rFonts w:cstheme="minorHAnsi"/>
        </w:rPr>
        <w:t>Children with sickle cell disease are predisposed to invasive bacterial infections from encapsulated organisms, such as </w:t>
      </w:r>
      <w:r w:rsidRPr="00BB3883">
        <w:rPr>
          <w:rFonts w:cstheme="minorHAnsi"/>
          <w:i/>
          <w:iCs/>
        </w:rPr>
        <w:t>Streptococcus pneumoniae</w:t>
      </w:r>
      <w:r w:rsidRPr="00BB3883">
        <w:rPr>
          <w:rFonts w:cstheme="minorHAnsi"/>
        </w:rPr>
        <w:t>, that can be rapidly progressive if unrecognized.</w:t>
      </w:r>
    </w:p>
    <w:p w:rsidR="0080408F" w:rsidRPr="00BB3883" w:rsidRDefault="0080408F" w:rsidP="00BB3883">
      <w:pPr>
        <w:numPr>
          <w:ilvl w:val="0"/>
          <w:numId w:val="29"/>
        </w:numPr>
        <w:spacing w:after="0" w:line="240" w:lineRule="auto"/>
        <w:rPr>
          <w:rFonts w:cstheme="minorHAnsi"/>
        </w:rPr>
      </w:pPr>
      <w:r w:rsidRPr="00BB3883">
        <w:rPr>
          <w:rFonts w:cstheme="minorHAnsi"/>
        </w:rPr>
        <w:t>Bacterial meningitis is a life-threatening, rapidly progressive, neurological emergency that presents with fever, lethargy, nuchal rigidity, and headache. Even with early treatment, it carries high morbidity and mortality.</w:t>
      </w:r>
    </w:p>
    <w:p w:rsidR="0080408F" w:rsidRPr="00BB3883" w:rsidRDefault="0080408F" w:rsidP="00BB3883">
      <w:pPr>
        <w:spacing w:after="0" w:line="240" w:lineRule="auto"/>
        <w:rPr>
          <w:rFonts w:cstheme="minorHAnsi"/>
          <w:b/>
          <w:bCs/>
        </w:rPr>
      </w:pPr>
      <w:r w:rsidRPr="00BB3883">
        <w:rPr>
          <w:rFonts w:cstheme="minorHAnsi"/>
          <w:b/>
          <w:bCs/>
        </w:rPr>
        <w:t>Suggested Readings</w:t>
      </w:r>
    </w:p>
    <w:p w:rsidR="0080408F" w:rsidRPr="00BB3883" w:rsidRDefault="0080408F" w:rsidP="00BB3883">
      <w:pPr>
        <w:numPr>
          <w:ilvl w:val="0"/>
          <w:numId w:val="33"/>
        </w:numPr>
        <w:spacing w:after="0" w:line="240" w:lineRule="auto"/>
        <w:rPr>
          <w:rFonts w:cstheme="minorHAnsi"/>
        </w:rPr>
      </w:pPr>
      <w:r w:rsidRPr="00BB3883">
        <w:rPr>
          <w:rFonts w:cstheme="minorHAnsi"/>
        </w:rPr>
        <w:t xml:space="preserve">Curtis S, Stobart K, </w:t>
      </w:r>
      <w:proofErr w:type="spellStart"/>
      <w:r w:rsidRPr="00BB3883">
        <w:rPr>
          <w:rFonts w:cstheme="minorHAnsi"/>
        </w:rPr>
        <w:t>Vandermeer</w:t>
      </w:r>
      <w:proofErr w:type="spellEnd"/>
      <w:r w:rsidRPr="00BB3883">
        <w:rPr>
          <w:rFonts w:cstheme="minorHAnsi"/>
        </w:rPr>
        <w:t xml:space="preserve"> B, </w:t>
      </w:r>
      <w:proofErr w:type="spellStart"/>
      <w:r w:rsidRPr="00BB3883">
        <w:rPr>
          <w:rFonts w:cstheme="minorHAnsi"/>
        </w:rPr>
        <w:t>Simel</w:t>
      </w:r>
      <w:proofErr w:type="spellEnd"/>
      <w:r w:rsidRPr="00BB3883">
        <w:rPr>
          <w:rFonts w:cstheme="minorHAnsi"/>
        </w:rPr>
        <w:t xml:space="preserve"> DL, Klassen T. Clinical features suggestive of meningitis in children: a systematic review of prospective data. </w:t>
      </w:r>
      <w:r w:rsidRPr="00BB3883">
        <w:rPr>
          <w:rFonts w:cstheme="minorHAnsi"/>
          <w:i/>
          <w:iCs/>
        </w:rPr>
        <w:t>Pediatrics</w:t>
      </w:r>
      <w:r w:rsidRPr="00BB3883">
        <w:rPr>
          <w:rFonts w:cstheme="minorHAnsi"/>
        </w:rPr>
        <w:t>. 2010;126(5):952-960. doi:</w:t>
      </w:r>
      <w:hyperlink r:id="rId17" w:tgtFrame="_blank" w:history="1">
        <w:r w:rsidRPr="00BB3883">
          <w:rPr>
            <w:rStyle w:val="Hyperlink"/>
            <w:rFonts w:cstheme="minorHAnsi"/>
          </w:rPr>
          <w:t>10.1542/peds.2010-0277</w:t>
        </w:r>
      </w:hyperlink>
      <w:r w:rsidRPr="00BB3883">
        <w:rPr>
          <w:rFonts w:cstheme="minorHAnsi"/>
        </w:rPr>
        <w:t>.</w:t>
      </w:r>
    </w:p>
    <w:p w:rsidR="0080408F" w:rsidRPr="00BB3883" w:rsidRDefault="0080408F" w:rsidP="00BB3883">
      <w:pPr>
        <w:numPr>
          <w:ilvl w:val="0"/>
          <w:numId w:val="33"/>
        </w:numPr>
        <w:spacing w:after="0" w:line="240" w:lineRule="auto"/>
        <w:rPr>
          <w:rFonts w:cstheme="minorHAnsi"/>
        </w:rPr>
      </w:pPr>
      <w:proofErr w:type="spellStart"/>
      <w:r w:rsidRPr="00BB3883">
        <w:rPr>
          <w:rFonts w:cstheme="minorHAnsi"/>
        </w:rPr>
        <w:t>Maraqa</w:t>
      </w:r>
      <w:proofErr w:type="spellEnd"/>
      <w:r w:rsidRPr="00BB3883">
        <w:rPr>
          <w:rFonts w:cstheme="minorHAnsi"/>
        </w:rPr>
        <w:t xml:space="preserve"> N. Pneumococcal infections.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2014;35(7):299-310. doi:</w:t>
      </w:r>
      <w:hyperlink r:id="rId18" w:tgtFrame="_blank" w:history="1">
        <w:r w:rsidRPr="00BB3883">
          <w:rPr>
            <w:rStyle w:val="Hyperlink"/>
            <w:rFonts w:cstheme="minorHAnsi"/>
          </w:rPr>
          <w:t>10.1542/pir.35-7-299</w:t>
        </w:r>
      </w:hyperlink>
      <w:r w:rsidRPr="00BB3883">
        <w:rPr>
          <w:rFonts w:cstheme="minorHAnsi"/>
        </w:rPr>
        <w:t>.</w:t>
      </w:r>
    </w:p>
    <w:p w:rsidR="0080408F" w:rsidRPr="00BB3883" w:rsidRDefault="0080408F" w:rsidP="00BB3883">
      <w:pPr>
        <w:numPr>
          <w:ilvl w:val="0"/>
          <w:numId w:val="33"/>
        </w:numPr>
        <w:spacing w:after="0" w:line="240" w:lineRule="auto"/>
        <w:rPr>
          <w:rFonts w:cstheme="minorHAnsi"/>
        </w:rPr>
      </w:pPr>
      <w:r w:rsidRPr="00BB3883">
        <w:rPr>
          <w:rFonts w:cstheme="minorHAnsi"/>
        </w:rPr>
        <w:t>Swanson D. Meningitis. </w:t>
      </w:r>
      <w:proofErr w:type="spellStart"/>
      <w:r w:rsidRPr="00BB3883">
        <w:rPr>
          <w:rFonts w:cstheme="minorHAnsi"/>
          <w:i/>
          <w:iCs/>
        </w:rPr>
        <w:t>Pediatr</w:t>
      </w:r>
      <w:proofErr w:type="spellEnd"/>
      <w:r w:rsidRPr="00BB3883">
        <w:rPr>
          <w:rFonts w:cstheme="minorHAnsi"/>
          <w:i/>
          <w:iCs/>
        </w:rPr>
        <w:t xml:space="preserve"> Rev</w:t>
      </w:r>
      <w:r w:rsidRPr="00BB3883">
        <w:rPr>
          <w:rFonts w:cstheme="minorHAnsi"/>
        </w:rPr>
        <w:t>. 2015;36(12):514-524. doi:</w:t>
      </w:r>
      <w:hyperlink r:id="rId19" w:tgtFrame="_blank" w:history="1">
        <w:r w:rsidRPr="00BB3883">
          <w:rPr>
            <w:rStyle w:val="Hyperlink"/>
            <w:rFonts w:cstheme="minorHAnsi"/>
          </w:rPr>
          <w:t>10.1542/pir.36-12-514</w:t>
        </w:r>
      </w:hyperlink>
      <w:r w:rsidRPr="00BB3883">
        <w:rPr>
          <w:rFonts w:cstheme="minorHAnsi"/>
        </w:rPr>
        <w:t>.</w:t>
      </w:r>
    </w:p>
    <w:p w:rsidR="0080408F" w:rsidRPr="00BB3883" w:rsidRDefault="0080408F" w:rsidP="00BB3883">
      <w:pPr>
        <w:pStyle w:val="NormalWeb"/>
        <w:spacing w:before="0" w:beforeAutospacing="0" w:after="0" w:afterAutospacing="0"/>
        <w:rPr>
          <w:rFonts w:asciiTheme="minorHAnsi" w:hAnsiTheme="minorHAnsi" w:cstheme="minorHAnsi"/>
          <w:color w:val="000000"/>
          <w:sz w:val="22"/>
          <w:szCs w:val="22"/>
        </w:rPr>
      </w:pPr>
    </w:p>
    <w:p w:rsidR="00926390" w:rsidRPr="00BB3883" w:rsidRDefault="00926390"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7</w:t>
      </w:r>
    </w:p>
    <w:p w:rsidR="005D5219" w:rsidRPr="00BB3883" w:rsidRDefault="005D5219" w:rsidP="00BB3883">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 xml:space="preserve">The boy in the vignette has pneumococcal pneumonia, characterized by lancet-shaped diplococci on Gram stain with α-hemolysis on culture plate. The presence of sickle cell disease would predispose him to complications of invasive pneumonia or septicemia. </w:t>
      </w:r>
    </w:p>
    <w:p w:rsidR="005D5219" w:rsidRPr="00BB3883" w:rsidRDefault="005D5219" w:rsidP="00BB3883">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 xml:space="preserve">Allergy to house dust mite and cat would not put this boy at increased risk for an adverse outcome from pneumococcal pneumonia, though children with asthma are at greater risk for invasive disease. Atrial septal defect and environmental tobacco smoke are not risk factors for invasive pneumococcal disease, though they are associated with an overall increased risk for poor outcome from pneumonia of any kind. </w:t>
      </w:r>
    </w:p>
    <w:p w:rsidR="005D5219" w:rsidRPr="00BB3883" w:rsidRDefault="005D5219" w:rsidP="00BB3883">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Risk for invasive pneumococcal pneumonia is increased in children with HIV disease, primary immunodeficiency, immunosuppression related to medical therapy for cancer or inflammatory processes, cochlear implants, or sickle cell disease. Introduction of the conjugated pneumococcal vaccine has significantly decreased the incidence of clinically significant pneumococcal disease in all children and invasive disease in children at risk. Routine penicillin prophylaxis for children with sickle cell disease was started in the 1980s, and resulted in a great decrease in severe pneumonias and other complications of pneumococcal disease. Introduction of the 23-valent polysaccharide vaccine for children older than 2 years with sickle cell disease further decreased the incidence of invasive pneumococcal infections, but there has been even greater benefit with the introduction of the conjugated 13-valent vaccine even when given after the polysaccharide vaccine. The current practice of administering the conjugated vaccine first followed by the polysaccharide vaccine is expected to show additional benefit. </w:t>
      </w:r>
    </w:p>
    <w:p w:rsidR="005D5219" w:rsidRPr="00BB3883" w:rsidRDefault="005D5219" w:rsidP="00BB3883">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Most respiratory infections in children are caused by viruses and specific pathogens are never identified. For viral pneumonias there is no specific treatment other than support. However, many children with viral pneumonias are treated with antibiotics as if they had bacterial pathogens because no specific data are available to rule out bacterial infection. Availability of easily accessible and cost-effective respiratory viral antigen panels performed on nasopharyngeal swabs may help to improve decision making in this area. The predominance of community-acquired pneumonias for which a bacterial organism is identified are caused by pneumococcus</w:t>
      </w:r>
      <w:r w:rsidRPr="00BB3883">
        <w:rPr>
          <w:rFonts w:asciiTheme="minorHAnsi" w:hAnsiTheme="minorHAnsi" w:cstheme="minorHAnsi"/>
          <w:i/>
          <w:iCs/>
          <w:color w:val="000000"/>
          <w:sz w:val="22"/>
          <w:szCs w:val="22"/>
        </w:rPr>
        <w:t>. Staphylococcus</w:t>
      </w:r>
      <w:r w:rsidRPr="00BB3883">
        <w:rPr>
          <w:rFonts w:asciiTheme="minorHAnsi" w:hAnsiTheme="minorHAnsi" w:cstheme="minorHAnsi"/>
          <w:color w:val="000000"/>
          <w:sz w:val="22"/>
          <w:szCs w:val="22"/>
        </w:rPr>
        <w:t xml:space="preserve"> is the other </w:t>
      </w:r>
      <w:r w:rsidRPr="00BB3883">
        <w:rPr>
          <w:rFonts w:asciiTheme="minorHAnsi" w:hAnsiTheme="minorHAnsi" w:cstheme="minorHAnsi"/>
          <w:color w:val="000000"/>
          <w:sz w:val="22"/>
          <w:szCs w:val="22"/>
        </w:rPr>
        <w:lastRenderedPageBreak/>
        <w:t xml:space="preserve">bacterium that may be implicated, and particularly methicillin-resistant </w:t>
      </w:r>
      <w:r w:rsidRPr="00BB3883">
        <w:rPr>
          <w:rFonts w:asciiTheme="minorHAnsi" w:hAnsiTheme="minorHAnsi" w:cstheme="minorHAnsi"/>
          <w:i/>
          <w:iCs/>
          <w:color w:val="000000"/>
          <w:sz w:val="22"/>
          <w:szCs w:val="22"/>
        </w:rPr>
        <w:t xml:space="preserve">Staphylococcus </w:t>
      </w:r>
      <w:r w:rsidRPr="00BB3883">
        <w:rPr>
          <w:rFonts w:asciiTheme="minorHAnsi" w:hAnsiTheme="minorHAnsi" w:cstheme="minorHAnsi"/>
          <w:color w:val="000000"/>
          <w:sz w:val="22"/>
          <w:szCs w:val="22"/>
        </w:rPr>
        <w:t xml:space="preserve">when there are complications. Complications of pneumococcal pneumonia occur in about 50% of children who require hospitalization for the pneumonia. These may include pleural effusion, empyema, necrotizing pneumonia, lung abscess, atelectasis, pneumatocele, or pneumothorax. Invasive staphylococcal pneumonia may result in empyema, necrotizing parenchymal disease, abscess, or pneumatocele. </w:t>
      </w:r>
    </w:p>
    <w:p w:rsidR="005D5219" w:rsidRPr="00BB3883" w:rsidRDefault="005D5219" w:rsidP="00BB3883">
      <w:pPr>
        <w:pStyle w:val="NormalWeb"/>
        <w:spacing w:before="0" w:beforeAutospacing="0" w:after="0" w:afterAutospacing="0"/>
        <w:rPr>
          <w:rFonts w:asciiTheme="minorHAnsi" w:hAnsiTheme="minorHAnsi" w:cstheme="minorHAnsi"/>
          <w:b/>
          <w:bCs/>
          <w:color w:val="000000"/>
          <w:sz w:val="22"/>
          <w:szCs w:val="22"/>
        </w:rPr>
      </w:pPr>
      <w:r w:rsidRPr="00BB3883">
        <w:rPr>
          <w:rFonts w:asciiTheme="minorHAnsi" w:hAnsiTheme="minorHAnsi" w:cstheme="minorHAnsi"/>
          <w:b/>
          <w:bCs/>
          <w:color w:val="000000"/>
          <w:sz w:val="22"/>
          <w:szCs w:val="22"/>
        </w:rPr>
        <w:t>PREP Pearls</w:t>
      </w:r>
    </w:p>
    <w:p w:rsidR="005D5219" w:rsidRPr="00BB3883" w:rsidRDefault="005D5219" w:rsidP="00BB3883">
      <w:pPr>
        <w:pStyle w:val="NormalWeb"/>
        <w:numPr>
          <w:ilvl w:val="0"/>
          <w:numId w:val="35"/>
        </w:numPr>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Children with sickle cell disease, immunodeficiency, HIV disease, and cochlear implants are at risk for invasive pneumococcal pneumonia.</w:t>
      </w:r>
    </w:p>
    <w:p w:rsidR="005D5219" w:rsidRPr="00BB3883" w:rsidRDefault="005D5219" w:rsidP="00BB3883">
      <w:pPr>
        <w:pStyle w:val="NormalWeb"/>
        <w:numPr>
          <w:ilvl w:val="0"/>
          <w:numId w:val="36"/>
        </w:numPr>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Children with congenital heart disease, asthma, and environmental tobacco smoke exposure are at greater risk for the development of pneumonia of any cause than their peers, but not at greater risk for invasive pneumococcal disease.</w:t>
      </w:r>
    </w:p>
    <w:p w:rsidR="005D5219" w:rsidRPr="00BB3883" w:rsidRDefault="005D5219" w:rsidP="00BB3883">
      <w:pPr>
        <w:pStyle w:val="NormalWeb"/>
        <w:numPr>
          <w:ilvl w:val="0"/>
          <w:numId w:val="37"/>
        </w:numPr>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Sequential administration of the 13-valent conjugated pneumococcal vaccine and the 23-valent polysaccharide vaccine (at least 8 weeks later) will decrease the incidence of invasive pneumococcal disease for children at risk.</w:t>
      </w:r>
    </w:p>
    <w:p w:rsidR="005D5219" w:rsidRPr="00BB3883" w:rsidRDefault="005D5219" w:rsidP="00BB3883">
      <w:pPr>
        <w:pStyle w:val="NormalWeb"/>
        <w:spacing w:before="0" w:beforeAutospacing="0" w:after="0" w:afterAutospacing="0"/>
        <w:rPr>
          <w:rFonts w:asciiTheme="minorHAnsi" w:hAnsiTheme="minorHAnsi" w:cstheme="minorHAnsi"/>
          <w:b/>
          <w:bCs/>
          <w:color w:val="000000"/>
          <w:sz w:val="22"/>
          <w:szCs w:val="22"/>
        </w:rPr>
      </w:pPr>
      <w:r w:rsidRPr="00BB3883">
        <w:rPr>
          <w:rFonts w:asciiTheme="minorHAnsi" w:hAnsiTheme="minorHAnsi" w:cstheme="minorHAnsi"/>
          <w:b/>
          <w:bCs/>
          <w:color w:val="000000"/>
          <w:sz w:val="22"/>
          <w:szCs w:val="22"/>
        </w:rPr>
        <w:t>Suggested Readings</w:t>
      </w:r>
    </w:p>
    <w:p w:rsidR="005D5219" w:rsidRPr="00BB3883" w:rsidRDefault="005D5219" w:rsidP="00BB3883">
      <w:pPr>
        <w:pStyle w:val="NormalWeb"/>
        <w:numPr>
          <w:ilvl w:val="0"/>
          <w:numId w:val="42"/>
        </w:numPr>
        <w:spacing w:before="0" w:beforeAutospacing="0" w:after="0" w:afterAutospacing="0"/>
        <w:rPr>
          <w:rFonts w:asciiTheme="minorHAnsi" w:hAnsiTheme="minorHAnsi" w:cstheme="minorHAnsi"/>
          <w:color w:val="000000"/>
          <w:sz w:val="22"/>
          <w:szCs w:val="22"/>
        </w:rPr>
      </w:pPr>
      <w:proofErr w:type="spellStart"/>
      <w:r w:rsidRPr="00BB3883">
        <w:rPr>
          <w:rFonts w:asciiTheme="minorHAnsi" w:hAnsiTheme="minorHAnsi" w:cstheme="minorHAnsi"/>
          <w:color w:val="000000"/>
          <w:sz w:val="22"/>
          <w:szCs w:val="22"/>
        </w:rPr>
        <w:t>Farnham</w:t>
      </w:r>
      <w:proofErr w:type="spellEnd"/>
      <w:r w:rsidRPr="00BB3883">
        <w:rPr>
          <w:rFonts w:asciiTheme="minorHAnsi" w:hAnsiTheme="minorHAnsi" w:cstheme="minorHAnsi"/>
          <w:color w:val="000000"/>
          <w:sz w:val="22"/>
          <w:szCs w:val="22"/>
        </w:rPr>
        <w:t xml:space="preserve"> AC, Zimmerman CM, </w:t>
      </w:r>
      <w:proofErr w:type="spellStart"/>
      <w:r w:rsidRPr="00BB3883">
        <w:rPr>
          <w:rFonts w:asciiTheme="minorHAnsi" w:hAnsiTheme="minorHAnsi" w:cstheme="minorHAnsi"/>
          <w:color w:val="000000"/>
          <w:sz w:val="22"/>
          <w:szCs w:val="22"/>
        </w:rPr>
        <w:t>Papadouka</w:t>
      </w:r>
      <w:proofErr w:type="spellEnd"/>
      <w:r w:rsidRPr="00BB3883">
        <w:rPr>
          <w:rFonts w:asciiTheme="minorHAnsi" w:hAnsiTheme="minorHAnsi" w:cstheme="minorHAnsi"/>
          <w:color w:val="000000"/>
          <w:sz w:val="22"/>
          <w:szCs w:val="22"/>
        </w:rPr>
        <w:t xml:space="preserve"> V, et al. Invasive pneumococcal disease following introduction of 13-valent conjugate vaccine in children in New York City from 2007-2012. </w:t>
      </w:r>
      <w:r w:rsidRPr="00BB3883">
        <w:rPr>
          <w:rFonts w:asciiTheme="minorHAnsi" w:hAnsiTheme="minorHAnsi" w:cstheme="minorHAnsi"/>
          <w:i/>
          <w:iCs/>
          <w:color w:val="000000"/>
          <w:sz w:val="22"/>
          <w:szCs w:val="22"/>
        </w:rPr>
        <w:t xml:space="preserve">JAMA </w:t>
      </w:r>
      <w:proofErr w:type="spellStart"/>
      <w:r w:rsidRPr="00BB3883">
        <w:rPr>
          <w:rFonts w:asciiTheme="minorHAnsi" w:hAnsiTheme="minorHAnsi" w:cstheme="minorHAnsi"/>
          <w:i/>
          <w:iCs/>
          <w:color w:val="000000"/>
          <w:sz w:val="22"/>
          <w:szCs w:val="22"/>
        </w:rPr>
        <w:t>Pediatr</w:t>
      </w:r>
      <w:proofErr w:type="spellEnd"/>
      <w:r w:rsidRPr="00BB3883">
        <w:rPr>
          <w:rFonts w:asciiTheme="minorHAnsi" w:hAnsiTheme="minorHAnsi" w:cstheme="minorHAnsi"/>
          <w:color w:val="000000"/>
          <w:sz w:val="22"/>
          <w:szCs w:val="22"/>
        </w:rPr>
        <w:t xml:space="preserve">. </w:t>
      </w:r>
      <w:proofErr w:type="gramStart"/>
      <w:r w:rsidRPr="00BB3883">
        <w:rPr>
          <w:rFonts w:asciiTheme="minorHAnsi" w:hAnsiTheme="minorHAnsi" w:cstheme="minorHAnsi"/>
          <w:color w:val="000000"/>
          <w:sz w:val="22"/>
          <w:szCs w:val="22"/>
        </w:rPr>
        <w:t>2015;169:646</w:t>
      </w:r>
      <w:proofErr w:type="gramEnd"/>
      <w:r w:rsidRPr="00BB3883">
        <w:rPr>
          <w:rFonts w:asciiTheme="minorHAnsi" w:hAnsiTheme="minorHAnsi" w:cstheme="minorHAnsi"/>
          <w:color w:val="000000"/>
          <w:sz w:val="22"/>
          <w:szCs w:val="22"/>
        </w:rPr>
        <w:t xml:space="preserve">-652. </w:t>
      </w:r>
      <w:hyperlink r:id="rId20" w:tgtFrame="_blank" w:history="1">
        <w:r w:rsidRPr="00BB3883">
          <w:rPr>
            <w:rStyle w:val="Hyperlink"/>
            <w:rFonts w:asciiTheme="minorHAnsi" w:hAnsiTheme="minorHAnsi" w:cstheme="minorHAnsi"/>
            <w:sz w:val="22"/>
            <w:szCs w:val="22"/>
          </w:rPr>
          <w:t>JAMA</w:t>
        </w:r>
      </w:hyperlink>
      <w:r w:rsidRPr="00BB3883">
        <w:rPr>
          <w:rFonts w:asciiTheme="minorHAnsi" w:hAnsiTheme="minorHAnsi" w:cstheme="minorHAnsi"/>
          <w:color w:val="000000"/>
          <w:sz w:val="22"/>
          <w:szCs w:val="22"/>
        </w:rPr>
        <w:t>.</w:t>
      </w:r>
    </w:p>
    <w:p w:rsidR="005D5219" w:rsidRPr="00BB3883" w:rsidRDefault="005D5219" w:rsidP="00BB3883">
      <w:pPr>
        <w:pStyle w:val="NormalWeb"/>
        <w:numPr>
          <w:ilvl w:val="0"/>
          <w:numId w:val="42"/>
        </w:numPr>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 xml:space="preserve">Light M. Pneumonia. In: McInerny TK, Adam HM, Campbell DE, DeWitt TG, Foy JM, </w:t>
      </w:r>
      <w:proofErr w:type="spellStart"/>
      <w:r w:rsidRPr="00BB3883">
        <w:rPr>
          <w:rFonts w:asciiTheme="minorHAnsi" w:hAnsiTheme="minorHAnsi" w:cstheme="minorHAnsi"/>
          <w:color w:val="000000"/>
          <w:sz w:val="22"/>
          <w:szCs w:val="22"/>
        </w:rPr>
        <w:t>Kamat</w:t>
      </w:r>
      <w:proofErr w:type="spellEnd"/>
      <w:r w:rsidRPr="00BB3883">
        <w:rPr>
          <w:rFonts w:asciiTheme="minorHAnsi" w:hAnsiTheme="minorHAnsi" w:cstheme="minorHAnsi"/>
          <w:color w:val="000000"/>
          <w:sz w:val="22"/>
          <w:szCs w:val="22"/>
        </w:rPr>
        <w:t xml:space="preserve"> DM, eds. </w:t>
      </w:r>
      <w:r w:rsidRPr="00BB3883">
        <w:rPr>
          <w:rFonts w:asciiTheme="minorHAnsi" w:hAnsiTheme="minorHAnsi" w:cstheme="minorHAnsi"/>
          <w:i/>
          <w:iCs/>
          <w:color w:val="000000"/>
          <w:sz w:val="22"/>
          <w:szCs w:val="22"/>
        </w:rPr>
        <w:t>American Academy of Pediatrics Textbook of Pediatric Care</w:t>
      </w:r>
      <w:r w:rsidRPr="00BB3883">
        <w:rPr>
          <w:rFonts w:asciiTheme="minorHAnsi" w:hAnsiTheme="minorHAnsi" w:cstheme="minorHAnsi"/>
          <w:color w:val="000000"/>
          <w:sz w:val="22"/>
          <w:szCs w:val="22"/>
        </w:rPr>
        <w:t xml:space="preserve">. 2nd ed. Elk Grove Village, IL: American Academy of Pediatrics; 2017:2510-2522. </w:t>
      </w:r>
      <w:hyperlink r:id="rId21" w:tgtFrame="_blank" w:history="1">
        <w:r w:rsidRPr="00BB3883">
          <w:rPr>
            <w:rStyle w:val="Hyperlink"/>
            <w:rFonts w:asciiTheme="minorHAnsi" w:hAnsiTheme="minorHAnsi" w:cstheme="minorHAnsi"/>
            <w:sz w:val="22"/>
            <w:szCs w:val="22"/>
          </w:rPr>
          <w:t>Pediatric Care Online</w:t>
        </w:r>
      </w:hyperlink>
      <w:r w:rsidRPr="00BB3883">
        <w:rPr>
          <w:rFonts w:asciiTheme="minorHAnsi" w:hAnsiTheme="minorHAnsi" w:cstheme="minorHAnsi"/>
          <w:color w:val="000000"/>
          <w:sz w:val="22"/>
          <w:szCs w:val="22"/>
        </w:rPr>
        <w:t>.</w:t>
      </w:r>
    </w:p>
    <w:p w:rsidR="005D5219" w:rsidRPr="00BB3883" w:rsidRDefault="005D5219" w:rsidP="00BB3883">
      <w:pPr>
        <w:pStyle w:val="NormalWeb"/>
        <w:numPr>
          <w:ilvl w:val="0"/>
          <w:numId w:val="42"/>
        </w:numPr>
        <w:spacing w:before="0" w:beforeAutospacing="0" w:after="0" w:afterAutospacing="0"/>
        <w:rPr>
          <w:rFonts w:asciiTheme="minorHAnsi" w:hAnsiTheme="minorHAnsi" w:cstheme="minorHAnsi"/>
          <w:color w:val="000000"/>
          <w:sz w:val="22"/>
          <w:szCs w:val="22"/>
        </w:rPr>
      </w:pPr>
      <w:proofErr w:type="spellStart"/>
      <w:r w:rsidRPr="00BB3883">
        <w:rPr>
          <w:rFonts w:asciiTheme="minorHAnsi" w:hAnsiTheme="minorHAnsi" w:cstheme="minorHAnsi"/>
          <w:color w:val="000000"/>
          <w:sz w:val="22"/>
          <w:szCs w:val="22"/>
        </w:rPr>
        <w:t>Obaro</w:t>
      </w:r>
      <w:proofErr w:type="spellEnd"/>
      <w:r w:rsidRPr="00BB3883">
        <w:rPr>
          <w:rFonts w:asciiTheme="minorHAnsi" w:hAnsiTheme="minorHAnsi" w:cstheme="minorHAnsi"/>
          <w:color w:val="000000"/>
          <w:sz w:val="22"/>
          <w:szCs w:val="22"/>
        </w:rPr>
        <w:t xml:space="preserve"> SK, Tam PYI. Preventing infections in sickle cell disease: the unfinished business. </w:t>
      </w:r>
      <w:proofErr w:type="spellStart"/>
      <w:r w:rsidRPr="00BB3883">
        <w:rPr>
          <w:rFonts w:asciiTheme="minorHAnsi" w:hAnsiTheme="minorHAnsi" w:cstheme="minorHAnsi"/>
          <w:i/>
          <w:iCs/>
          <w:color w:val="000000"/>
          <w:sz w:val="22"/>
          <w:szCs w:val="22"/>
        </w:rPr>
        <w:t>Pediatr</w:t>
      </w:r>
      <w:proofErr w:type="spellEnd"/>
      <w:r w:rsidRPr="00BB3883">
        <w:rPr>
          <w:rFonts w:asciiTheme="minorHAnsi" w:hAnsiTheme="minorHAnsi" w:cstheme="minorHAnsi"/>
          <w:i/>
          <w:iCs/>
          <w:color w:val="000000"/>
          <w:sz w:val="22"/>
          <w:szCs w:val="22"/>
        </w:rPr>
        <w:t xml:space="preserve"> Blood Cancer.</w:t>
      </w:r>
      <w:r w:rsidRPr="00BB3883">
        <w:rPr>
          <w:rFonts w:asciiTheme="minorHAnsi" w:hAnsiTheme="minorHAnsi" w:cstheme="minorHAnsi"/>
          <w:color w:val="000000"/>
          <w:sz w:val="22"/>
          <w:szCs w:val="22"/>
        </w:rPr>
        <w:t xml:space="preserve"> </w:t>
      </w:r>
      <w:proofErr w:type="gramStart"/>
      <w:r w:rsidRPr="00BB3883">
        <w:rPr>
          <w:rFonts w:asciiTheme="minorHAnsi" w:hAnsiTheme="minorHAnsi" w:cstheme="minorHAnsi"/>
          <w:color w:val="000000"/>
          <w:sz w:val="22"/>
          <w:szCs w:val="22"/>
        </w:rPr>
        <w:t>2016;63:781</w:t>
      </w:r>
      <w:proofErr w:type="gramEnd"/>
      <w:r w:rsidRPr="00BB3883">
        <w:rPr>
          <w:rFonts w:asciiTheme="minorHAnsi" w:hAnsiTheme="minorHAnsi" w:cstheme="minorHAnsi"/>
          <w:color w:val="000000"/>
          <w:sz w:val="22"/>
          <w:szCs w:val="22"/>
        </w:rPr>
        <w:t>-785. doi:</w:t>
      </w:r>
      <w:hyperlink r:id="rId22" w:tgtFrame="_blank" w:history="1">
        <w:r w:rsidRPr="00BB3883">
          <w:rPr>
            <w:rStyle w:val="Hyperlink"/>
            <w:rFonts w:asciiTheme="minorHAnsi" w:hAnsiTheme="minorHAnsi" w:cstheme="minorHAnsi"/>
            <w:sz w:val="22"/>
            <w:szCs w:val="22"/>
          </w:rPr>
          <w:t>10.1002/pbc.25911</w:t>
        </w:r>
      </w:hyperlink>
      <w:r w:rsidRPr="00BB3883">
        <w:rPr>
          <w:rFonts w:asciiTheme="minorHAnsi" w:hAnsiTheme="minorHAnsi" w:cstheme="minorHAnsi"/>
          <w:color w:val="000000"/>
          <w:sz w:val="22"/>
          <w:szCs w:val="22"/>
        </w:rPr>
        <w:t>.</w:t>
      </w:r>
    </w:p>
    <w:p w:rsidR="005D5219" w:rsidRPr="00BB3883" w:rsidRDefault="005D5219" w:rsidP="00BB3883">
      <w:pPr>
        <w:pStyle w:val="NormalWeb"/>
        <w:numPr>
          <w:ilvl w:val="0"/>
          <w:numId w:val="42"/>
        </w:numPr>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 xml:space="preserve">Ricketson LJ, </w:t>
      </w:r>
      <w:proofErr w:type="spellStart"/>
      <w:r w:rsidRPr="00BB3883">
        <w:rPr>
          <w:rFonts w:asciiTheme="minorHAnsi" w:hAnsiTheme="minorHAnsi" w:cstheme="minorHAnsi"/>
          <w:color w:val="000000"/>
          <w:sz w:val="22"/>
          <w:szCs w:val="22"/>
        </w:rPr>
        <w:t>Conradi</w:t>
      </w:r>
      <w:proofErr w:type="spellEnd"/>
      <w:r w:rsidRPr="00BB3883">
        <w:rPr>
          <w:rFonts w:asciiTheme="minorHAnsi" w:hAnsiTheme="minorHAnsi" w:cstheme="minorHAnsi"/>
          <w:color w:val="000000"/>
          <w:sz w:val="22"/>
          <w:szCs w:val="22"/>
        </w:rPr>
        <w:t xml:space="preserve"> NG, </w:t>
      </w:r>
      <w:proofErr w:type="spellStart"/>
      <w:r w:rsidRPr="00BB3883">
        <w:rPr>
          <w:rFonts w:asciiTheme="minorHAnsi" w:hAnsiTheme="minorHAnsi" w:cstheme="minorHAnsi"/>
          <w:color w:val="000000"/>
          <w:sz w:val="22"/>
          <w:szCs w:val="22"/>
        </w:rPr>
        <w:t>Vanderkooi</w:t>
      </w:r>
      <w:proofErr w:type="spellEnd"/>
      <w:r w:rsidRPr="00BB3883">
        <w:rPr>
          <w:rFonts w:asciiTheme="minorHAnsi" w:hAnsiTheme="minorHAnsi" w:cstheme="minorHAnsi"/>
          <w:color w:val="000000"/>
          <w:sz w:val="22"/>
          <w:szCs w:val="22"/>
        </w:rPr>
        <w:t xml:space="preserve"> OG, Kellner JD. Changes in the nature and severity of invasive pneumococcal disease in children before and after the seven-valent and thirteen-valent pneumococcal conjugate vaccine programs in Calgary, Canada. </w:t>
      </w:r>
      <w:proofErr w:type="spellStart"/>
      <w:r w:rsidRPr="00BB3883">
        <w:rPr>
          <w:rFonts w:asciiTheme="minorHAnsi" w:hAnsiTheme="minorHAnsi" w:cstheme="minorHAnsi"/>
          <w:i/>
          <w:iCs/>
          <w:color w:val="000000"/>
          <w:sz w:val="22"/>
          <w:szCs w:val="22"/>
        </w:rPr>
        <w:t>Pediatr</w:t>
      </w:r>
      <w:proofErr w:type="spellEnd"/>
      <w:r w:rsidRPr="00BB3883">
        <w:rPr>
          <w:rFonts w:asciiTheme="minorHAnsi" w:hAnsiTheme="minorHAnsi" w:cstheme="minorHAnsi"/>
          <w:i/>
          <w:iCs/>
          <w:color w:val="000000"/>
          <w:sz w:val="22"/>
          <w:szCs w:val="22"/>
        </w:rPr>
        <w:t xml:space="preserve"> Infect Dis J</w:t>
      </w:r>
      <w:r w:rsidRPr="00BB3883">
        <w:rPr>
          <w:rFonts w:asciiTheme="minorHAnsi" w:hAnsiTheme="minorHAnsi" w:cstheme="minorHAnsi"/>
          <w:color w:val="000000"/>
          <w:sz w:val="22"/>
          <w:szCs w:val="22"/>
        </w:rPr>
        <w:t xml:space="preserve">. </w:t>
      </w:r>
      <w:proofErr w:type="gramStart"/>
      <w:r w:rsidRPr="00BB3883">
        <w:rPr>
          <w:rFonts w:asciiTheme="minorHAnsi" w:hAnsiTheme="minorHAnsi" w:cstheme="minorHAnsi"/>
          <w:color w:val="000000"/>
          <w:sz w:val="22"/>
          <w:szCs w:val="22"/>
        </w:rPr>
        <w:t>2018;37:22</w:t>
      </w:r>
      <w:proofErr w:type="gramEnd"/>
      <w:r w:rsidRPr="00BB3883">
        <w:rPr>
          <w:rFonts w:asciiTheme="minorHAnsi" w:hAnsiTheme="minorHAnsi" w:cstheme="minorHAnsi"/>
          <w:color w:val="000000"/>
          <w:sz w:val="22"/>
          <w:szCs w:val="22"/>
        </w:rPr>
        <w:t>-27. </w:t>
      </w:r>
      <w:hyperlink r:id="rId23" w:tgtFrame="_blank" w:history="1">
        <w:r w:rsidRPr="00BB3883">
          <w:rPr>
            <w:rStyle w:val="Hyperlink"/>
            <w:rFonts w:asciiTheme="minorHAnsi" w:hAnsiTheme="minorHAnsi" w:cstheme="minorHAnsi"/>
            <w:sz w:val="22"/>
            <w:szCs w:val="22"/>
          </w:rPr>
          <w:t>https://insights.ovid.com/pubmed?pmid=28737622</w:t>
        </w:r>
      </w:hyperlink>
      <w:r w:rsidRPr="00BB3883">
        <w:rPr>
          <w:rFonts w:asciiTheme="minorHAnsi" w:hAnsiTheme="minorHAnsi" w:cstheme="minorHAnsi"/>
          <w:color w:val="000000"/>
          <w:sz w:val="22"/>
          <w:szCs w:val="22"/>
        </w:rPr>
        <w:t>.</w:t>
      </w:r>
    </w:p>
    <w:p w:rsidR="00F9010F" w:rsidRPr="00BB3883" w:rsidRDefault="00F9010F" w:rsidP="00BB3883">
      <w:pPr>
        <w:pStyle w:val="NormalWeb"/>
        <w:spacing w:before="0" w:beforeAutospacing="0" w:after="0" w:afterAutospacing="0"/>
        <w:rPr>
          <w:rFonts w:asciiTheme="minorHAnsi" w:hAnsiTheme="minorHAnsi" w:cstheme="minorHAnsi"/>
          <w:color w:val="000000"/>
          <w:sz w:val="22"/>
          <w:szCs w:val="22"/>
        </w:rPr>
      </w:pPr>
    </w:p>
    <w:p w:rsidR="00F9010F" w:rsidRPr="00BB3883" w:rsidRDefault="00F9010F"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 xml:space="preserve">Question </w:t>
      </w:r>
      <w:r w:rsidR="00AC72DA" w:rsidRPr="00BB3883">
        <w:rPr>
          <w:rFonts w:asciiTheme="minorHAnsi" w:hAnsiTheme="minorHAnsi" w:cstheme="minorHAnsi"/>
          <w:b/>
          <w:color w:val="000000"/>
          <w:sz w:val="22"/>
          <w:szCs w:val="22"/>
          <w:u w:val="single"/>
        </w:rPr>
        <w:t>8</w:t>
      </w:r>
    </w:p>
    <w:p w:rsidR="00F9010F" w:rsidRPr="00BB3883" w:rsidRDefault="00F9010F" w:rsidP="00BB3883">
      <w:pPr>
        <w:spacing w:after="0" w:line="240" w:lineRule="auto"/>
        <w:rPr>
          <w:rFonts w:cstheme="minorHAnsi"/>
        </w:rPr>
      </w:pPr>
      <w:r w:rsidRPr="00BB3883">
        <w:rPr>
          <w:rFonts w:cstheme="minorHAnsi"/>
        </w:rPr>
        <w:t>With the implementation of universal newborn screening, early detection of sickle cell anemia has helped in the initiation of </w:t>
      </w:r>
      <w:r w:rsidRPr="00BB3883">
        <w:rPr>
          <w:rFonts w:cstheme="minorHAnsi"/>
          <w:b/>
          <w:bCs/>
        </w:rPr>
        <w:t>early treatment</w:t>
      </w:r>
      <w:r w:rsidRPr="00BB3883">
        <w:rPr>
          <w:rFonts w:cstheme="minorHAnsi"/>
        </w:rPr>
        <w:t>,</w:t>
      </w:r>
      <w:r w:rsidRPr="00BB3883">
        <w:rPr>
          <w:rFonts w:cstheme="minorHAnsi"/>
          <w:b/>
          <w:bCs/>
        </w:rPr>
        <w:t> anticipatory guidance</w:t>
      </w:r>
      <w:r w:rsidRPr="00BB3883">
        <w:rPr>
          <w:rFonts w:cstheme="minorHAnsi"/>
        </w:rPr>
        <w:t>,</w:t>
      </w:r>
      <w:r w:rsidRPr="00BB3883">
        <w:rPr>
          <w:rFonts w:cstheme="minorHAnsi"/>
          <w:b/>
          <w:bCs/>
        </w:rPr>
        <w:t> and preventive measures</w:t>
      </w:r>
      <w:r w:rsidRPr="00BB3883">
        <w:rPr>
          <w:rFonts w:cstheme="minorHAnsi"/>
        </w:rPr>
        <w:t xml:space="preserve">. Different techniques are used for detection of the hemoglobin. Any of the techniques used must be able to differentiate </w:t>
      </w:r>
      <w:proofErr w:type="spellStart"/>
      <w:r w:rsidRPr="00BB3883">
        <w:rPr>
          <w:rFonts w:cstheme="minorHAnsi"/>
        </w:rPr>
        <w:t>HbF</w:t>
      </w:r>
      <w:proofErr w:type="spellEnd"/>
      <w:r w:rsidRPr="00BB3883">
        <w:rPr>
          <w:rFonts w:cstheme="minorHAnsi"/>
        </w:rPr>
        <w:t>, A, S, and C. Acceptable techniques include gel electrophoresis, capillary electrophoresis, isoelectric focusing, and high-performance liquid chromatography. The results are reported in descending order by amount of hemoglobin level. This patient with homozygous sickle cell anemia (</w:t>
      </w:r>
      <w:proofErr w:type="spellStart"/>
      <w:r w:rsidRPr="00BB3883">
        <w:rPr>
          <w:rFonts w:cstheme="minorHAnsi"/>
        </w:rPr>
        <w:t>HbSS</w:t>
      </w:r>
      <w:proofErr w:type="spellEnd"/>
      <w:r w:rsidRPr="00BB3883">
        <w:rPr>
          <w:rFonts w:cstheme="minorHAnsi"/>
        </w:rPr>
        <w:t>) would have an </w:t>
      </w:r>
      <w:r w:rsidRPr="00BB3883">
        <w:rPr>
          <w:rFonts w:cstheme="minorHAnsi"/>
          <w:b/>
          <w:bCs/>
        </w:rPr>
        <w:t>FS</w:t>
      </w:r>
      <w:r w:rsidRPr="00BB3883">
        <w:rPr>
          <w:rFonts w:cstheme="minorHAnsi"/>
        </w:rPr>
        <w:t xml:space="preserve"> pattern on the newborn screen. This means that there is </w:t>
      </w:r>
      <w:proofErr w:type="spellStart"/>
      <w:r w:rsidRPr="00BB3883">
        <w:rPr>
          <w:rFonts w:cstheme="minorHAnsi"/>
        </w:rPr>
        <w:t>HbF</w:t>
      </w:r>
      <w:proofErr w:type="spellEnd"/>
      <w:r w:rsidRPr="00BB3883">
        <w:rPr>
          <w:rFonts w:cstheme="minorHAnsi"/>
        </w:rPr>
        <w:t xml:space="preserve"> (fetal hemoglobin) and </w:t>
      </w:r>
      <w:proofErr w:type="spellStart"/>
      <w:r w:rsidRPr="00BB3883">
        <w:rPr>
          <w:rFonts w:cstheme="minorHAnsi"/>
        </w:rPr>
        <w:t>HbS</w:t>
      </w:r>
      <w:proofErr w:type="spellEnd"/>
      <w:r w:rsidRPr="00BB3883">
        <w:rPr>
          <w:rFonts w:cstheme="minorHAnsi"/>
        </w:rPr>
        <w:t xml:space="preserve"> but no </w:t>
      </w:r>
      <w:proofErr w:type="spellStart"/>
      <w:r w:rsidRPr="00BB3883">
        <w:rPr>
          <w:rFonts w:cstheme="minorHAnsi"/>
        </w:rPr>
        <w:t>HbA</w:t>
      </w:r>
      <w:proofErr w:type="spellEnd"/>
      <w:r w:rsidRPr="00BB3883">
        <w:rPr>
          <w:rFonts w:cstheme="minorHAnsi"/>
        </w:rPr>
        <w:t>. Results are confirmed by repeat testing. With a confirmed diagnosis of sickle cell anemia, comprehensive care should be initiated with a pediatric hematologist.</w:t>
      </w:r>
    </w:p>
    <w:p w:rsidR="005D5219" w:rsidRPr="00BB3883" w:rsidRDefault="005D5219" w:rsidP="00BB3883">
      <w:pPr>
        <w:spacing w:after="0" w:line="240" w:lineRule="auto"/>
        <w:rPr>
          <w:rFonts w:cstheme="minorHAnsi"/>
        </w:rPr>
      </w:pPr>
      <w:r w:rsidRPr="00BB3883">
        <w:rPr>
          <w:rFonts w:cstheme="minorHAnsi"/>
          <w:b/>
          <w:bCs/>
        </w:rPr>
        <w:t>FA (A)</w:t>
      </w:r>
      <w:r w:rsidRPr="00BB3883">
        <w:rPr>
          <w:rFonts w:cstheme="minorHAnsi"/>
        </w:rPr>
        <w:t xml:space="preserve"> pattern represents normal hemoglobin. This means at time of birth there is a majority of </w:t>
      </w:r>
      <w:proofErr w:type="spellStart"/>
      <w:r w:rsidRPr="00BB3883">
        <w:rPr>
          <w:rFonts w:cstheme="minorHAnsi"/>
        </w:rPr>
        <w:t>HbF</w:t>
      </w:r>
      <w:proofErr w:type="spellEnd"/>
      <w:r w:rsidRPr="00BB3883">
        <w:rPr>
          <w:rFonts w:cstheme="minorHAnsi"/>
        </w:rPr>
        <w:t xml:space="preserve"> and some </w:t>
      </w:r>
      <w:proofErr w:type="spellStart"/>
      <w:r w:rsidRPr="00BB3883">
        <w:rPr>
          <w:rFonts w:cstheme="minorHAnsi"/>
        </w:rPr>
        <w:t>HbA</w:t>
      </w:r>
      <w:proofErr w:type="spellEnd"/>
      <w:r w:rsidRPr="00BB3883">
        <w:rPr>
          <w:rFonts w:cstheme="minorHAnsi"/>
        </w:rPr>
        <w:t xml:space="preserve">. As the child gets older, </w:t>
      </w:r>
      <w:proofErr w:type="spellStart"/>
      <w:r w:rsidRPr="00BB3883">
        <w:rPr>
          <w:rFonts w:cstheme="minorHAnsi"/>
        </w:rPr>
        <w:t>HbF</w:t>
      </w:r>
      <w:proofErr w:type="spellEnd"/>
      <w:r w:rsidRPr="00BB3883">
        <w:rPr>
          <w:rFonts w:cstheme="minorHAnsi"/>
        </w:rPr>
        <w:t xml:space="preserve"> decreases and about 95% of the hemoglobin is </w:t>
      </w:r>
      <w:proofErr w:type="spellStart"/>
      <w:r w:rsidRPr="00BB3883">
        <w:rPr>
          <w:rFonts w:cstheme="minorHAnsi"/>
        </w:rPr>
        <w:t>HbA</w:t>
      </w:r>
      <w:proofErr w:type="spellEnd"/>
      <w:r w:rsidRPr="00BB3883">
        <w:rPr>
          <w:rFonts w:cstheme="minorHAnsi"/>
        </w:rPr>
        <w:t xml:space="preserve"> and HbA2. </w:t>
      </w:r>
      <w:r w:rsidRPr="00BB3883">
        <w:rPr>
          <w:rFonts w:cstheme="minorHAnsi"/>
          <w:b/>
          <w:bCs/>
        </w:rPr>
        <w:t>FAS (B) </w:t>
      </w:r>
      <w:r w:rsidRPr="00BB3883">
        <w:rPr>
          <w:rFonts w:cstheme="minorHAnsi"/>
        </w:rPr>
        <w:t xml:space="preserve">represents sickle cell trait. There is </w:t>
      </w:r>
      <w:proofErr w:type="spellStart"/>
      <w:r w:rsidRPr="00BB3883">
        <w:rPr>
          <w:rFonts w:cstheme="minorHAnsi"/>
        </w:rPr>
        <w:t>HbF</w:t>
      </w:r>
      <w:proofErr w:type="spellEnd"/>
      <w:r w:rsidRPr="00BB3883">
        <w:rPr>
          <w:rFonts w:cstheme="minorHAnsi"/>
        </w:rPr>
        <w:t xml:space="preserve"> and </w:t>
      </w:r>
      <w:proofErr w:type="spellStart"/>
      <w:r w:rsidRPr="00BB3883">
        <w:rPr>
          <w:rFonts w:cstheme="minorHAnsi"/>
        </w:rPr>
        <w:t>HbA</w:t>
      </w:r>
      <w:proofErr w:type="spellEnd"/>
      <w:r w:rsidRPr="00BB3883">
        <w:rPr>
          <w:rFonts w:cstheme="minorHAnsi"/>
        </w:rPr>
        <w:t xml:space="preserve"> and a small amount of </w:t>
      </w:r>
      <w:proofErr w:type="spellStart"/>
      <w:r w:rsidRPr="00BB3883">
        <w:rPr>
          <w:rFonts w:cstheme="minorHAnsi"/>
        </w:rPr>
        <w:t>HbS</w:t>
      </w:r>
      <w:proofErr w:type="spellEnd"/>
      <w:r w:rsidRPr="00BB3883">
        <w:rPr>
          <w:rFonts w:cstheme="minorHAnsi"/>
        </w:rPr>
        <w:t xml:space="preserve">. The amount of </w:t>
      </w:r>
      <w:proofErr w:type="spellStart"/>
      <w:r w:rsidRPr="00BB3883">
        <w:rPr>
          <w:rFonts w:cstheme="minorHAnsi"/>
        </w:rPr>
        <w:t>HbA</w:t>
      </w:r>
      <w:proofErr w:type="spellEnd"/>
      <w:r w:rsidRPr="00BB3883">
        <w:rPr>
          <w:rFonts w:cstheme="minorHAnsi"/>
        </w:rPr>
        <w:t xml:space="preserve"> is still more than </w:t>
      </w:r>
      <w:proofErr w:type="spellStart"/>
      <w:r w:rsidRPr="00BB3883">
        <w:rPr>
          <w:rFonts w:cstheme="minorHAnsi"/>
        </w:rPr>
        <w:t>HbS</w:t>
      </w:r>
      <w:proofErr w:type="spellEnd"/>
      <w:r w:rsidRPr="00BB3883">
        <w:rPr>
          <w:rFonts w:cstheme="minorHAnsi"/>
        </w:rPr>
        <w:t>. With sickle cell trait, the family should be informed the child does not have a chronic hematological condition and should receive counseling on genetics of the carrier status. </w:t>
      </w:r>
      <w:r w:rsidRPr="00BB3883">
        <w:rPr>
          <w:rFonts w:cstheme="minorHAnsi"/>
          <w:b/>
          <w:bCs/>
        </w:rPr>
        <w:t>FSC (D)</w:t>
      </w:r>
      <w:r w:rsidRPr="00BB3883">
        <w:rPr>
          <w:rFonts w:cstheme="minorHAnsi"/>
        </w:rPr>
        <w:t xml:space="preserve"> represents </w:t>
      </w:r>
      <w:proofErr w:type="spellStart"/>
      <w:r w:rsidRPr="00BB3883">
        <w:rPr>
          <w:rFonts w:cstheme="minorHAnsi"/>
        </w:rPr>
        <w:t>HbSC</w:t>
      </w:r>
      <w:proofErr w:type="spellEnd"/>
      <w:r w:rsidRPr="00BB3883">
        <w:rPr>
          <w:rFonts w:cstheme="minorHAnsi"/>
        </w:rPr>
        <w:t xml:space="preserve"> sickle cell anemia, which is a not homozygous sickle cell anemia (</w:t>
      </w:r>
      <w:proofErr w:type="spellStart"/>
      <w:r w:rsidRPr="00BB3883">
        <w:rPr>
          <w:rFonts w:cstheme="minorHAnsi"/>
        </w:rPr>
        <w:t>HbSS</w:t>
      </w:r>
      <w:proofErr w:type="spellEnd"/>
      <w:r w:rsidRPr="00BB3883">
        <w:rPr>
          <w:rFonts w:cstheme="minorHAnsi"/>
        </w:rPr>
        <w:t xml:space="preserve">). There is </w:t>
      </w:r>
      <w:proofErr w:type="spellStart"/>
      <w:r w:rsidRPr="00BB3883">
        <w:rPr>
          <w:rFonts w:cstheme="minorHAnsi"/>
        </w:rPr>
        <w:t>HbF</w:t>
      </w:r>
      <w:proofErr w:type="spellEnd"/>
      <w:r w:rsidRPr="00BB3883">
        <w:rPr>
          <w:rFonts w:cstheme="minorHAnsi"/>
        </w:rPr>
        <w:t xml:space="preserve"> and </w:t>
      </w:r>
      <w:proofErr w:type="spellStart"/>
      <w:r w:rsidRPr="00BB3883">
        <w:rPr>
          <w:rFonts w:cstheme="minorHAnsi"/>
        </w:rPr>
        <w:t>HbS</w:t>
      </w:r>
      <w:proofErr w:type="spellEnd"/>
      <w:r w:rsidRPr="00BB3883">
        <w:rPr>
          <w:rFonts w:cstheme="minorHAnsi"/>
        </w:rPr>
        <w:t xml:space="preserve"> and </w:t>
      </w:r>
      <w:proofErr w:type="spellStart"/>
      <w:r w:rsidRPr="00BB3883">
        <w:rPr>
          <w:rFonts w:cstheme="minorHAnsi"/>
        </w:rPr>
        <w:t>HbC</w:t>
      </w:r>
      <w:proofErr w:type="spellEnd"/>
      <w:r w:rsidRPr="00BB3883">
        <w:rPr>
          <w:rFonts w:cstheme="minorHAnsi"/>
        </w:rPr>
        <w:t xml:space="preserve">. </w:t>
      </w:r>
      <w:proofErr w:type="spellStart"/>
      <w:r w:rsidRPr="00BB3883">
        <w:rPr>
          <w:rFonts w:cstheme="minorHAnsi"/>
        </w:rPr>
        <w:t>HbSC</w:t>
      </w:r>
      <w:proofErr w:type="spellEnd"/>
      <w:r w:rsidRPr="00BB3883">
        <w:rPr>
          <w:rFonts w:cstheme="minorHAnsi"/>
        </w:rPr>
        <w:t xml:space="preserve"> has the same clinical symptoms as </w:t>
      </w:r>
      <w:proofErr w:type="spellStart"/>
      <w:r w:rsidRPr="00BB3883">
        <w:rPr>
          <w:rFonts w:cstheme="minorHAnsi"/>
        </w:rPr>
        <w:t>HbSS</w:t>
      </w:r>
      <w:proofErr w:type="spellEnd"/>
      <w:r w:rsidRPr="00BB3883">
        <w:rPr>
          <w:rFonts w:cstheme="minorHAnsi"/>
        </w:rPr>
        <w:t>, but milder.</w:t>
      </w:r>
    </w:p>
    <w:p w:rsidR="00F9010F" w:rsidRPr="00BB3883" w:rsidRDefault="00F9010F" w:rsidP="00BB3883">
      <w:pPr>
        <w:spacing w:after="0" w:line="240" w:lineRule="auto"/>
        <w:rPr>
          <w:rFonts w:cstheme="minorHAnsi"/>
        </w:rPr>
      </w:pPr>
    </w:p>
    <w:p w:rsidR="00F9010F" w:rsidRPr="00BB3883" w:rsidRDefault="00F9010F" w:rsidP="00BB3883">
      <w:pPr>
        <w:spacing w:after="0" w:line="240" w:lineRule="auto"/>
        <w:rPr>
          <w:rFonts w:cstheme="minorHAnsi"/>
        </w:rPr>
      </w:pPr>
      <w:r w:rsidRPr="00BB3883">
        <w:rPr>
          <w:rFonts w:cstheme="minorHAnsi"/>
          <w:noProof/>
        </w:rPr>
        <w:lastRenderedPageBreak/>
        <w:drawing>
          <wp:inline distT="0" distB="0" distL="0" distR="0" wp14:anchorId="4512E8C3" wp14:editId="01785DFB">
            <wp:extent cx="5902036" cy="5217399"/>
            <wp:effectExtent l="0" t="0" r="3810" b="2540"/>
            <wp:docPr id="4" name="Picture 4" descr="https://roshreview.imgix.net/5cacc67843ddcf2a1c6ea9f39106e44e_Table%20-%20Hemoglobin%20Patterns%20in%20Common%20Hemoglobinopathies%2C%20Newborn%20screen%2C%20Sickle%20cell%2C%20Thalassemia.png?w=750&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roshreview.imgix.net/5cacc67843ddcf2a1c6ea9f39106e44e_Table%20-%20Hemoglobin%20Patterns%20in%20Common%20Hemoglobinopathies%2C%20Newborn%20screen%2C%20Sickle%20cell%2C%20Thalassemia.png?w=750&amp;fit=ma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21512" cy="5234616"/>
                    </a:xfrm>
                    <a:prstGeom prst="rect">
                      <a:avLst/>
                    </a:prstGeom>
                    <a:noFill/>
                    <a:ln>
                      <a:noFill/>
                    </a:ln>
                  </pic:spPr>
                </pic:pic>
              </a:graphicData>
            </a:graphic>
          </wp:inline>
        </w:drawing>
      </w:r>
    </w:p>
    <w:p w:rsidR="00F9010F" w:rsidRPr="00BB3883" w:rsidRDefault="00F9010F" w:rsidP="00BB3883">
      <w:pPr>
        <w:spacing w:after="0" w:line="240" w:lineRule="auto"/>
        <w:rPr>
          <w:rFonts w:cstheme="minorHAnsi"/>
        </w:rPr>
      </w:pPr>
    </w:p>
    <w:bookmarkEnd w:id="0"/>
    <w:p w:rsidR="00617CA6" w:rsidRPr="00BB3883" w:rsidRDefault="00617CA6"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Question 9</w:t>
      </w:r>
    </w:p>
    <w:p w:rsidR="0049109B" w:rsidRPr="00BB3883" w:rsidRDefault="000A0D3A" w:rsidP="00BB3883">
      <w:pPr>
        <w:spacing w:after="0" w:line="240" w:lineRule="auto"/>
        <w:rPr>
          <w:rFonts w:cstheme="minorHAnsi"/>
        </w:rPr>
      </w:pPr>
      <w:r w:rsidRPr="00BB3883">
        <w:rPr>
          <w:rFonts w:cstheme="minorHAnsi"/>
        </w:rPr>
        <w:t xml:space="preserve">Reduction in </w:t>
      </w:r>
      <w:proofErr w:type="spellStart"/>
      <w:r w:rsidRPr="00BB3883">
        <w:rPr>
          <w:rFonts w:cstheme="minorHAnsi"/>
        </w:rPr>
        <w:t>vaso</w:t>
      </w:r>
      <w:proofErr w:type="spellEnd"/>
      <w:r w:rsidRPr="00BB3883">
        <w:rPr>
          <w:rFonts w:cstheme="minorHAnsi"/>
        </w:rPr>
        <w:t xml:space="preserve">-occlusive pain events and other </w:t>
      </w:r>
      <w:proofErr w:type="spellStart"/>
      <w:r w:rsidRPr="00BB3883">
        <w:rPr>
          <w:rFonts w:cstheme="minorHAnsi"/>
        </w:rPr>
        <w:t>vaso</w:t>
      </w:r>
      <w:proofErr w:type="spellEnd"/>
      <w:r w:rsidRPr="00BB3883">
        <w:rPr>
          <w:rFonts w:cstheme="minorHAnsi"/>
        </w:rPr>
        <w:t xml:space="preserve">-occlusive complications is the major, patient-important clinical endpoint in hydroxyurea therapy. Bone marrow suppression is the major dose-limiting toxicity.  </w:t>
      </w:r>
      <w:r w:rsidR="0049109B" w:rsidRPr="00BB3883">
        <w:rPr>
          <w:rFonts w:cstheme="minorHAnsi"/>
        </w:rPr>
        <w:t xml:space="preserve">The hematologic parameters </w:t>
      </w:r>
      <w:r w:rsidRPr="00BB3883">
        <w:rPr>
          <w:rFonts w:cstheme="minorHAnsi"/>
        </w:rPr>
        <w:t>outlined in the table (</w:t>
      </w:r>
      <w:hyperlink r:id="rId25" w:history="1">
        <w:r w:rsidRPr="00BB3883">
          <w:rPr>
            <w:rStyle w:val="Hyperlink"/>
            <w:rFonts w:cstheme="minorHAnsi"/>
          </w:rPr>
          <w:t>table 1</w:t>
        </w:r>
      </w:hyperlink>
      <w:r w:rsidR="0049109B" w:rsidRPr="00BB3883">
        <w:rPr>
          <w:rFonts w:cstheme="minorHAnsi"/>
        </w:rPr>
        <w:t xml:space="preserve">), are the targeted endpoint for dose titration, referred to as the maximum tolerated dose (MTD). </w:t>
      </w:r>
    </w:p>
    <w:p w:rsidR="0049109B" w:rsidRPr="00BB3883" w:rsidRDefault="0049109B" w:rsidP="00BB3883">
      <w:pPr>
        <w:spacing w:after="0" w:line="240" w:lineRule="auto"/>
        <w:rPr>
          <w:rFonts w:cstheme="minorHAnsi"/>
        </w:rPr>
      </w:pPr>
      <w:r w:rsidRPr="00BB3883">
        <w:rPr>
          <w:rFonts w:cstheme="minorHAnsi"/>
        </w:rPr>
        <w:t>Criteria for MTD with good response:</w:t>
      </w:r>
    </w:p>
    <w:p w:rsidR="0049109B" w:rsidRPr="00BB3883" w:rsidRDefault="0049109B" w:rsidP="00BB3883">
      <w:pPr>
        <w:numPr>
          <w:ilvl w:val="0"/>
          <w:numId w:val="46"/>
        </w:numPr>
        <w:spacing w:after="0" w:line="240" w:lineRule="auto"/>
        <w:rPr>
          <w:rFonts w:cstheme="minorHAnsi"/>
        </w:rPr>
      </w:pPr>
      <w:r w:rsidRPr="00BB3883">
        <w:rPr>
          <w:rFonts w:cstheme="minorHAnsi"/>
        </w:rPr>
        <w:t>Target ANC: 1500 to 3000/</w:t>
      </w:r>
      <w:proofErr w:type="spellStart"/>
      <w:r w:rsidRPr="00BB3883">
        <w:rPr>
          <w:rFonts w:cstheme="minorHAnsi"/>
        </w:rPr>
        <w:t>microL</w:t>
      </w:r>
      <w:proofErr w:type="spellEnd"/>
      <w:r w:rsidRPr="00BB3883">
        <w:rPr>
          <w:rFonts w:cstheme="minorHAnsi"/>
        </w:rPr>
        <w:t>*</w:t>
      </w:r>
    </w:p>
    <w:p w:rsidR="0049109B" w:rsidRPr="00BB3883" w:rsidRDefault="0049109B" w:rsidP="00BB3883">
      <w:pPr>
        <w:numPr>
          <w:ilvl w:val="0"/>
          <w:numId w:val="46"/>
        </w:numPr>
        <w:spacing w:after="0" w:line="240" w:lineRule="auto"/>
        <w:rPr>
          <w:rFonts w:cstheme="minorHAnsi"/>
        </w:rPr>
      </w:pPr>
      <w:r w:rsidRPr="00BB3883">
        <w:rPr>
          <w:rFonts w:cstheme="minorHAnsi"/>
        </w:rPr>
        <w:t>Target PLT: ≥80,000/</w:t>
      </w:r>
      <w:proofErr w:type="spellStart"/>
      <w:r w:rsidRPr="00BB3883">
        <w:rPr>
          <w:rFonts w:cstheme="minorHAnsi"/>
        </w:rPr>
        <w:t>microL</w:t>
      </w:r>
      <w:proofErr w:type="spellEnd"/>
    </w:p>
    <w:p w:rsidR="0049109B" w:rsidRPr="00BB3883" w:rsidRDefault="0049109B" w:rsidP="00BB3883">
      <w:pPr>
        <w:numPr>
          <w:ilvl w:val="0"/>
          <w:numId w:val="46"/>
        </w:numPr>
        <w:spacing w:after="0" w:line="240" w:lineRule="auto"/>
        <w:rPr>
          <w:rFonts w:cstheme="minorHAnsi"/>
        </w:rPr>
      </w:pPr>
      <w:r w:rsidRPr="00BB3883">
        <w:rPr>
          <w:rFonts w:cstheme="minorHAnsi"/>
        </w:rPr>
        <w:t>Target hemoglobin: ≥8 g/dL off transfusion</w:t>
      </w:r>
    </w:p>
    <w:p w:rsidR="0049109B" w:rsidRPr="00BB3883" w:rsidRDefault="0049109B" w:rsidP="00BB3883">
      <w:pPr>
        <w:numPr>
          <w:ilvl w:val="0"/>
          <w:numId w:val="46"/>
        </w:numPr>
        <w:spacing w:after="0" w:line="240" w:lineRule="auto"/>
        <w:rPr>
          <w:rFonts w:cstheme="minorHAnsi"/>
        </w:rPr>
      </w:pPr>
      <w:r w:rsidRPr="00BB3883">
        <w:rPr>
          <w:rFonts w:cstheme="minorHAnsi"/>
        </w:rPr>
        <w:t>Target ARC: 80,000 to 100,000/</w:t>
      </w:r>
      <w:proofErr w:type="spellStart"/>
      <w:r w:rsidRPr="00BB3883">
        <w:rPr>
          <w:rFonts w:cstheme="minorHAnsi"/>
        </w:rPr>
        <w:t>microL</w:t>
      </w:r>
      <w:proofErr w:type="spellEnd"/>
    </w:p>
    <w:p w:rsidR="0049109B" w:rsidRPr="00BB3883" w:rsidRDefault="0049109B" w:rsidP="00BB3883">
      <w:pPr>
        <w:numPr>
          <w:ilvl w:val="0"/>
          <w:numId w:val="46"/>
        </w:numPr>
        <w:spacing w:after="0" w:line="240" w:lineRule="auto"/>
        <w:rPr>
          <w:rFonts w:cstheme="minorHAnsi"/>
        </w:rPr>
      </w:pPr>
      <w:r w:rsidRPr="00BB3883">
        <w:rPr>
          <w:rFonts w:cstheme="minorHAnsi"/>
        </w:rPr>
        <w:t xml:space="preserve">Target </w:t>
      </w:r>
      <w:proofErr w:type="spellStart"/>
      <w:r w:rsidRPr="00BB3883">
        <w:rPr>
          <w:rFonts w:cstheme="minorHAnsi"/>
        </w:rPr>
        <w:t>HbF</w:t>
      </w:r>
      <w:proofErr w:type="spellEnd"/>
      <w:r w:rsidRPr="00BB3883">
        <w:rPr>
          <w:rFonts w:cstheme="minorHAnsi"/>
        </w:rPr>
        <w:t>: &gt;20% of total hemoglobin; no upper limit</w:t>
      </w:r>
    </w:p>
    <w:p w:rsidR="000A0D3A" w:rsidRPr="00BB3883" w:rsidRDefault="000A0D3A" w:rsidP="00BB3883">
      <w:pPr>
        <w:spacing w:after="0" w:line="240" w:lineRule="auto"/>
        <w:rPr>
          <w:rFonts w:cstheme="minorHAnsi"/>
        </w:rPr>
      </w:pPr>
      <w:r w:rsidRPr="00BB3883">
        <w:rPr>
          <w:rFonts w:cstheme="minorHAnsi"/>
        </w:rPr>
        <w:t>The complete blood count (CBC) and reticulocyte count should be obtained every four weeks whi</w:t>
      </w:r>
      <w:r w:rsidR="0049109B" w:rsidRPr="00BB3883">
        <w:rPr>
          <w:rFonts w:cstheme="minorHAnsi"/>
        </w:rPr>
        <w:t xml:space="preserve">le the dose is being increased, then every two to three months. </w:t>
      </w:r>
    </w:p>
    <w:p w:rsidR="000A0D3A" w:rsidRPr="00BB3883" w:rsidRDefault="00CF176B" w:rsidP="00BB3883">
      <w:pPr>
        <w:spacing w:after="0" w:line="240" w:lineRule="auto"/>
        <w:rPr>
          <w:rStyle w:val="Hyperlink"/>
          <w:rFonts w:cstheme="minorHAnsi"/>
        </w:rPr>
      </w:pPr>
      <w:hyperlink r:id="rId26" w:anchor="H2836945892" w:tgtFrame="_blank" w:history="1">
        <w:r w:rsidR="000A0D3A" w:rsidRPr="00BB3883">
          <w:rPr>
            <w:rStyle w:val="Hyperlink"/>
            <w:rFonts w:cstheme="minorHAnsi"/>
          </w:rPr>
          <w:t>Rodgers G, George A. Hydroxyurea use in sickle cell disease. Post TW, ed. UpToDate. Waltham, MA: UpToDate Inc.</w:t>
        </w:r>
      </w:hyperlink>
    </w:p>
    <w:p w:rsidR="007F33AD" w:rsidRPr="00BB3883" w:rsidRDefault="007F33AD" w:rsidP="00BB3883">
      <w:pPr>
        <w:pStyle w:val="NormalWeb"/>
        <w:spacing w:before="0" w:beforeAutospacing="0" w:after="0" w:afterAutospacing="0"/>
        <w:rPr>
          <w:rFonts w:asciiTheme="minorHAnsi" w:hAnsiTheme="minorHAnsi" w:cstheme="minorHAnsi"/>
          <w:color w:val="000000"/>
          <w:sz w:val="22"/>
          <w:szCs w:val="22"/>
        </w:rPr>
      </w:pPr>
    </w:p>
    <w:p w:rsidR="007F33AD" w:rsidRPr="00BB3883" w:rsidRDefault="007F33AD" w:rsidP="00BB3883">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Question 10</w:t>
      </w:r>
    </w:p>
    <w:p w:rsidR="007F33AD" w:rsidRPr="00BB3883" w:rsidRDefault="00BB3883" w:rsidP="00BB3883">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noProof/>
          <w:color w:val="000000"/>
          <w:sz w:val="22"/>
          <w:szCs w:val="22"/>
        </w:rPr>
        <w:lastRenderedPageBreak/>
        <w:drawing>
          <wp:inline distT="0" distB="0" distL="0" distR="0" wp14:anchorId="01BA1132" wp14:editId="5A3268AE">
            <wp:extent cx="6858000" cy="5796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0" cy="5796654"/>
                    </a:xfrm>
                    <a:prstGeom prst="rect">
                      <a:avLst/>
                    </a:prstGeom>
                    <a:noFill/>
                    <a:ln>
                      <a:noFill/>
                    </a:ln>
                  </pic:spPr>
                </pic:pic>
              </a:graphicData>
            </a:graphic>
          </wp:inline>
        </w:drawing>
      </w:r>
    </w:p>
    <w:p w:rsidR="00BB3883" w:rsidRPr="00BB3883" w:rsidRDefault="00BB3883" w:rsidP="00BB3883">
      <w:pPr>
        <w:pStyle w:val="NormalWeb"/>
        <w:spacing w:before="0" w:beforeAutospacing="0" w:after="0" w:afterAutospacing="0"/>
        <w:rPr>
          <w:rFonts w:asciiTheme="minorHAnsi" w:hAnsiTheme="minorHAnsi" w:cstheme="minorHAnsi"/>
          <w:color w:val="000000"/>
          <w:sz w:val="22"/>
          <w:szCs w:val="22"/>
        </w:rPr>
      </w:pPr>
      <w:proofErr w:type="spellStart"/>
      <w:r w:rsidRPr="00BB3883">
        <w:rPr>
          <w:rFonts w:asciiTheme="minorHAnsi" w:hAnsiTheme="minorHAnsi" w:cstheme="minorHAnsi"/>
          <w:sz w:val="22"/>
          <w:szCs w:val="22"/>
        </w:rPr>
        <w:t>McCavit</w:t>
      </w:r>
      <w:proofErr w:type="spellEnd"/>
      <w:r w:rsidRPr="00BB3883">
        <w:rPr>
          <w:rFonts w:asciiTheme="minorHAnsi" w:hAnsiTheme="minorHAnsi" w:cstheme="minorHAnsi"/>
          <w:sz w:val="22"/>
          <w:szCs w:val="22"/>
        </w:rPr>
        <w:t xml:space="preserve"> TL. Sickle cell disease. </w:t>
      </w:r>
      <w:proofErr w:type="spellStart"/>
      <w:r w:rsidRPr="00BB3883">
        <w:rPr>
          <w:rFonts w:asciiTheme="minorHAnsi" w:hAnsiTheme="minorHAnsi" w:cstheme="minorHAnsi"/>
          <w:i/>
          <w:iCs/>
          <w:sz w:val="22"/>
          <w:szCs w:val="22"/>
        </w:rPr>
        <w:t>Pediatr</w:t>
      </w:r>
      <w:proofErr w:type="spellEnd"/>
      <w:r w:rsidRPr="00BB3883">
        <w:rPr>
          <w:rFonts w:asciiTheme="minorHAnsi" w:hAnsiTheme="minorHAnsi" w:cstheme="minorHAnsi"/>
          <w:i/>
          <w:iCs/>
          <w:sz w:val="22"/>
          <w:szCs w:val="22"/>
        </w:rPr>
        <w:t xml:space="preserve"> Rev.</w:t>
      </w:r>
      <w:r w:rsidRPr="00BB3883">
        <w:rPr>
          <w:rFonts w:asciiTheme="minorHAnsi" w:hAnsiTheme="minorHAnsi" w:cstheme="minorHAnsi"/>
          <w:sz w:val="22"/>
          <w:szCs w:val="22"/>
        </w:rPr>
        <w:t> 2012;33(5):195-204. doi:</w:t>
      </w:r>
      <w:hyperlink r:id="rId28" w:tgtFrame="_blank" w:history="1">
        <w:r w:rsidRPr="00BB3883">
          <w:rPr>
            <w:rStyle w:val="Hyperlink"/>
            <w:rFonts w:asciiTheme="minorHAnsi" w:hAnsiTheme="minorHAnsi" w:cstheme="minorHAnsi"/>
            <w:sz w:val="22"/>
            <w:szCs w:val="22"/>
          </w:rPr>
          <w:t>10.1542/pir.33-5-195</w:t>
        </w:r>
      </w:hyperlink>
      <w:r w:rsidRPr="00BB3883">
        <w:rPr>
          <w:rFonts w:asciiTheme="minorHAnsi" w:hAnsiTheme="minorHAnsi" w:cstheme="minorHAnsi"/>
          <w:sz w:val="22"/>
          <w:szCs w:val="22"/>
        </w:rPr>
        <w:t>.</w:t>
      </w:r>
    </w:p>
    <w:p w:rsidR="00BB3883" w:rsidRPr="00BB3883" w:rsidRDefault="00BB3883" w:rsidP="00BB3883">
      <w:pPr>
        <w:pStyle w:val="NormalWeb"/>
        <w:spacing w:before="0" w:beforeAutospacing="0" w:after="0" w:afterAutospacing="0"/>
        <w:rPr>
          <w:rFonts w:asciiTheme="minorHAnsi" w:hAnsiTheme="minorHAnsi" w:cstheme="minorHAnsi"/>
          <w:b/>
          <w:color w:val="000000"/>
          <w:sz w:val="22"/>
          <w:szCs w:val="22"/>
          <w:u w:val="single"/>
        </w:rPr>
      </w:pPr>
    </w:p>
    <w:p w:rsidR="007F33AD" w:rsidRPr="00BB3883" w:rsidRDefault="007F33AD" w:rsidP="00E6622F">
      <w:pPr>
        <w:pStyle w:val="NormalWeb"/>
        <w:spacing w:before="0" w:beforeAutospacing="0" w:after="0" w:afterAutospacing="0"/>
        <w:rPr>
          <w:rFonts w:asciiTheme="minorHAnsi" w:hAnsiTheme="minorHAnsi" w:cstheme="minorHAnsi"/>
          <w:b/>
          <w:color w:val="000000"/>
          <w:sz w:val="22"/>
          <w:szCs w:val="22"/>
          <w:u w:val="single"/>
        </w:rPr>
      </w:pPr>
      <w:r w:rsidRPr="00BB3883">
        <w:rPr>
          <w:rFonts w:asciiTheme="minorHAnsi" w:hAnsiTheme="minorHAnsi" w:cstheme="minorHAnsi"/>
          <w:b/>
          <w:color w:val="000000"/>
          <w:sz w:val="22"/>
          <w:szCs w:val="22"/>
          <w:u w:val="single"/>
        </w:rPr>
        <w:t>Question 11</w:t>
      </w:r>
    </w:p>
    <w:p w:rsidR="00E6622F" w:rsidRPr="00BB3883" w:rsidRDefault="00E6622F" w:rsidP="00E6622F">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In the early 1990s, transcranial Doppler (TCD) ultrasonography was shown to predict risk of acute stroke in SS and</w:t>
      </w:r>
    </w:p>
    <w:p w:rsidR="00E6622F" w:rsidRPr="00BB3883" w:rsidRDefault="00E6622F" w:rsidP="00E6622F">
      <w:pPr>
        <w:pStyle w:val="NormalWeb"/>
        <w:spacing w:before="0" w:beforeAutospacing="0" w:after="0" w:afterAutospacing="0"/>
        <w:rPr>
          <w:rFonts w:asciiTheme="minorHAnsi" w:hAnsiTheme="minorHAnsi" w:cstheme="minorHAnsi"/>
          <w:color w:val="000000"/>
          <w:sz w:val="22"/>
          <w:szCs w:val="22"/>
        </w:rPr>
      </w:pPr>
      <w:r w:rsidRPr="00BB3883">
        <w:rPr>
          <w:rFonts w:asciiTheme="minorHAnsi" w:hAnsiTheme="minorHAnsi" w:cstheme="minorHAnsi"/>
          <w:color w:val="000000"/>
          <w:sz w:val="22"/>
          <w:szCs w:val="22"/>
        </w:rPr>
        <w:t xml:space="preserve">Sβ0, with an abnormal TCD examination representing a 40% risk of stroke in the subsequent 3 years. In the landmark Stroke Prevention Trial in Sickle Cell Anemia, children identified to be at high risk by TCD were randomly assigned to monthly blood transfusions versus blood disorders sickle cell disease observation, with a 90% decrease in the rate of stroke observed in the transfusion group. (9) Hence, annual screening with TCD has become standard care for children with SS and Sβ0. </w:t>
      </w:r>
    </w:p>
    <w:p w:rsidR="00E6622F" w:rsidRPr="00E6622F" w:rsidRDefault="00E6622F" w:rsidP="00E6622F">
      <w:pPr>
        <w:pStyle w:val="NormalWeb"/>
        <w:spacing w:before="0" w:beforeAutospacing="0" w:after="0" w:afterAutospacing="0"/>
        <w:rPr>
          <w:rFonts w:asciiTheme="minorHAnsi" w:hAnsiTheme="minorHAnsi" w:cstheme="minorHAnsi"/>
          <w:color w:val="000000"/>
          <w:sz w:val="22"/>
          <w:szCs w:val="22"/>
        </w:rPr>
      </w:pPr>
      <w:r w:rsidRPr="00E6622F">
        <w:rPr>
          <w:rFonts w:asciiTheme="minorHAnsi" w:hAnsiTheme="minorHAnsi" w:cstheme="minorHAnsi"/>
          <w:color w:val="000000"/>
          <w:sz w:val="22"/>
          <w:szCs w:val="22"/>
        </w:rPr>
        <w:t>The evaluation of a patient suspected of experiencing</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acute stroke should include a careful history and neurologic</w:t>
      </w:r>
    </w:p>
    <w:p w:rsidR="00E6622F" w:rsidRPr="00E6622F" w:rsidRDefault="00E6622F" w:rsidP="00E6622F">
      <w:pPr>
        <w:pStyle w:val="NormalWeb"/>
        <w:spacing w:before="0" w:beforeAutospacing="0" w:after="0" w:afterAutospacing="0"/>
        <w:rPr>
          <w:rFonts w:asciiTheme="minorHAnsi" w:hAnsiTheme="minorHAnsi" w:cstheme="minorHAnsi"/>
          <w:color w:val="000000"/>
          <w:sz w:val="22"/>
          <w:szCs w:val="22"/>
        </w:rPr>
      </w:pPr>
      <w:r w:rsidRPr="00E6622F">
        <w:rPr>
          <w:rFonts w:asciiTheme="minorHAnsi" w:hAnsiTheme="minorHAnsi" w:cstheme="minorHAnsi"/>
          <w:color w:val="000000"/>
          <w:sz w:val="22"/>
          <w:szCs w:val="22"/>
        </w:rPr>
        <w:t>examination; emergent radiographic evaluation by</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MRI or computed tomography followed by MRI when</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MRI is not immediately available; and a laboratory evaluation,</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including blood count, reticulocyte count, Hgb S</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percentage, and blood group and screen.</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The principle underlying the treatment of acute stroke</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is the rapid reduction of the Hgb S percentage. This goal</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may be achieved through simple RBC transfusion or</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partial manual exchange, although automated exchange</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 xml:space="preserve">transfusion with </w:t>
      </w:r>
      <w:proofErr w:type="spellStart"/>
      <w:r w:rsidRPr="00E6622F">
        <w:rPr>
          <w:rFonts w:asciiTheme="minorHAnsi" w:hAnsiTheme="minorHAnsi" w:cstheme="minorHAnsi"/>
          <w:color w:val="000000"/>
          <w:sz w:val="22"/>
          <w:szCs w:val="22"/>
        </w:rPr>
        <w:t>erythrocytopheresis</w:t>
      </w:r>
      <w:proofErr w:type="spellEnd"/>
      <w:r w:rsidRPr="00E6622F">
        <w:rPr>
          <w:rFonts w:asciiTheme="minorHAnsi" w:hAnsiTheme="minorHAnsi" w:cstheme="minorHAnsi"/>
          <w:color w:val="000000"/>
          <w:sz w:val="22"/>
          <w:szCs w:val="22"/>
        </w:rPr>
        <w:t xml:space="preserve"> reduces the Hgb S</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percentage more efficiently and is widely regarded as</w:t>
      </w:r>
    </w:p>
    <w:p w:rsidR="00E6622F" w:rsidRPr="00E6622F" w:rsidRDefault="00E6622F" w:rsidP="00E6622F">
      <w:pPr>
        <w:pStyle w:val="NormalWeb"/>
        <w:spacing w:before="0" w:beforeAutospacing="0" w:after="0" w:afterAutospacing="0"/>
        <w:rPr>
          <w:rFonts w:asciiTheme="minorHAnsi" w:hAnsiTheme="minorHAnsi" w:cstheme="minorHAnsi"/>
          <w:color w:val="000000"/>
          <w:sz w:val="22"/>
          <w:szCs w:val="22"/>
        </w:rPr>
      </w:pPr>
      <w:r w:rsidRPr="00E6622F">
        <w:rPr>
          <w:rFonts w:asciiTheme="minorHAnsi" w:hAnsiTheme="minorHAnsi" w:cstheme="minorHAnsi"/>
          <w:color w:val="000000"/>
          <w:sz w:val="22"/>
          <w:szCs w:val="22"/>
        </w:rPr>
        <w:t>standard practice. This treatment frequently leads to resolution</w:t>
      </w:r>
      <w:r>
        <w:rPr>
          <w:rFonts w:asciiTheme="minorHAnsi" w:hAnsiTheme="minorHAnsi" w:cstheme="minorHAnsi"/>
          <w:color w:val="000000"/>
          <w:sz w:val="22"/>
          <w:szCs w:val="22"/>
        </w:rPr>
        <w:t xml:space="preserve"> </w:t>
      </w:r>
      <w:r w:rsidRPr="00E6622F">
        <w:rPr>
          <w:rFonts w:asciiTheme="minorHAnsi" w:hAnsiTheme="minorHAnsi" w:cstheme="minorHAnsi"/>
          <w:color w:val="000000"/>
          <w:sz w:val="22"/>
          <w:szCs w:val="22"/>
        </w:rPr>
        <w:t xml:space="preserve">or a marked </w:t>
      </w:r>
      <w:proofErr w:type="spellStart"/>
      <w:r w:rsidRPr="00E6622F">
        <w:rPr>
          <w:rFonts w:asciiTheme="minorHAnsi" w:hAnsiTheme="minorHAnsi" w:cstheme="minorHAnsi"/>
          <w:color w:val="000000"/>
          <w:sz w:val="22"/>
          <w:szCs w:val="22"/>
        </w:rPr>
        <w:t>dimunition</w:t>
      </w:r>
      <w:proofErr w:type="spellEnd"/>
      <w:r w:rsidRPr="00E6622F">
        <w:rPr>
          <w:rFonts w:asciiTheme="minorHAnsi" w:hAnsiTheme="minorHAnsi" w:cstheme="minorHAnsi"/>
          <w:color w:val="000000"/>
          <w:sz w:val="22"/>
          <w:szCs w:val="22"/>
        </w:rPr>
        <w:t xml:space="preserve"> in neurologic symptoms</w:t>
      </w:r>
    </w:p>
    <w:p w:rsidR="00E6622F" w:rsidRDefault="00E6622F" w:rsidP="00E6622F">
      <w:pPr>
        <w:pStyle w:val="NormalWeb"/>
        <w:spacing w:before="0" w:beforeAutospacing="0" w:after="0" w:afterAutospacing="0"/>
        <w:rPr>
          <w:rFonts w:asciiTheme="minorHAnsi" w:hAnsiTheme="minorHAnsi" w:cstheme="minorHAnsi"/>
          <w:color w:val="000000"/>
          <w:sz w:val="22"/>
          <w:szCs w:val="22"/>
        </w:rPr>
      </w:pPr>
      <w:r w:rsidRPr="00E6622F">
        <w:rPr>
          <w:rFonts w:asciiTheme="minorHAnsi" w:hAnsiTheme="minorHAnsi" w:cstheme="minorHAnsi"/>
          <w:color w:val="000000"/>
          <w:sz w:val="22"/>
          <w:szCs w:val="22"/>
        </w:rPr>
        <w:t>within 24 to 48 hours.</w:t>
      </w:r>
    </w:p>
    <w:p w:rsidR="00BB3883" w:rsidRPr="00BB3883" w:rsidRDefault="00BB3883" w:rsidP="00E6622F">
      <w:pPr>
        <w:pStyle w:val="NormalWeb"/>
        <w:spacing w:before="0" w:beforeAutospacing="0" w:after="0" w:afterAutospacing="0"/>
        <w:rPr>
          <w:rFonts w:asciiTheme="minorHAnsi" w:hAnsiTheme="minorHAnsi" w:cstheme="minorHAnsi"/>
          <w:color w:val="000000"/>
          <w:sz w:val="22"/>
          <w:szCs w:val="22"/>
        </w:rPr>
      </w:pPr>
      <w:proofErr w:type="spellStart"/>
      <w:r w:rsidRPr="00BB3883">
        <w:rPr>
          <w:rFonts w:asciiTheme="minorHAnsi" w:hAnsiTheme="minorHAnsi" w:cstheme="minorHAnsi"/>
          <w:sz w:val="22"/>
          <w:szCs w:val="22"/>
        </w:rPr>
        <w:t>McCavit</w:t>
      </w:r>
      <w:proofErr w:type="spellEnd"/>
      <w:r w:rsidRPr="00BB3883">
        <w:rPr>
          <w:rFonts w:asciiTheme="minorHAnsi" w:hAnsiTheme="minorHAnsi" w:cstheme="minorHAnsi"/>
          <w:sz w:val="22"/>
          <w:szCs w:val="22"/>
        </w:rPr>
        <w:t xml:space="preserve"> TL. Sickle cell disease. </w:t>
      </w:r>
      <w:proofErr w:type="spellStart"/>
      <w:r w:rsidRPr="00BB3883">
        <w:rPr>
          <w:rFonts w:asciiTheme="minorHAnsi" w:hAnsiTheme="minorHAnsi" w:cstheme="minorHAnsi"/>
          <w:i/>
          <w:iCs/>
          <w:sz w:val="22"/>
          <w:szCs w:val="22"/>
        </w:rPr>
        <w:t>Pediatr</w:t>
      </w:r>
      <w:proofErr w:type="spellEnd"/>
      <w:r w:rsidRPr="00BB3883">
        <w:rPr>
          <w:rFonts w:asciiTheme="minorHAnsi" w:hAnsiTheme="minorHAnsi" w:cstheme="minorHAnsi"/>
          <w:i/>
          <w:iCs/>
          <w:sz w:val="22"/>
          <w:szCs w:val="22"/>
        </w:rPr>
        <w:t xml:space="preserve"> Rev.</w:t>
      </w:r>
      <w:r w:rsidRPr="00BB3883">
        <w:rPr>
          <w:rFonts w:asciiTheme="minorHAnsi" w:hAnsiTheme="minorHAnsi" w:cstheme="minorHAnsi"/>
          <w:sz w:val="22"/>
          <w:szCs w:val="22"/>
        </w:rPr>
        <w:t> 2012;33(5):195-204. doi:</w:t>
      </w:r>
      <w:hyperlink r:id="rId29" w:tgtFrame="_blank" w:history="1">
        <w:r w:rsidRPr="00BB3883">
          <w:rPr>
            <w:rStyle w:val="Hyperlink"/>
            <w:rFonts w:asciiTheme="minorHAnsi" w:hAnsiTheme="minorHAnsi" w:cstheme="minorHAnsi"/>
            <w:sz w:val="22"/>
            <w:szCs w:val="22"/>
          </w:rPr>
          <w:t>10.1542/pir.33-5-195</w:t>
        </w:r>
      </w:hyperlink>
      <w:r w:rsidRPr="00BB3883">
        <w:rPr>
          <w:rFonts w:asciiTheme="minorHAnsi" w:hAnsiTheme="minorHAnsi" w:cstheme="minorHAnsi"/>
          <w:sz w:val="22"/>
          <w:szCs w:val="22"/>
        </w:rPr>
        <w:t>.</w:t>
      </w:r>
    </w:p>
    <w:p w:rsidR="00BB3883" w:rsidRPr="00BB3883" w:rsidRDefault="00BB3883" w:rsidP="00E6622F">
      <w:pPr>
        <w:pStyle w:val="NormalWeb"/>
        <w:spacing w:before="0" w:beforeAutospacing="0" w:after="0" w:afterAutospacing="0"/>
        <w:rPr>
          <w:rFonts w:asciiTheme="minorHAnsi" w:hAnsiTheme="minorHAnsi" w:cstheme="minorHAnsi"/>
          <w:color w:val="000000"/>
          <w:sz w:val="22"/>
          <w:szCs w:val="22"/>
        </w:rPr>
      </w:pPr>
    </w:p>
    <w:sectPr w:rsidR="00BB3883" w:rsidRPr="00BB3883" w:rsidSect="005D521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EE"/>
    <w:multiLevelType w:val="multilevel"/>
    <w:tmpl w:val="55C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88E"/>
    <w:multiLevelType w:val="multilevel"/>
    <w:tmpl w:val="5094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3E1E"/>
    <w:multiLevelType w:val="multilevel"/>
    <w:tmpl w:val="A45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D7EEB"/>
    <w:multiLevelType w:val="multilevel"/>
    <w:tmpl w:val="969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00A08"/>
    <w:multiLevelType w:val="hybridMultilevel"/>
    <w:tmpl w:val="2F0E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B7DBE"/>
    <w:multiLevelType w:val="multilevel"/>
    <w:tmpl w:val="8F76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4187"/>
    <w:multiLevelType w:val="multilevel"/>
    <w:tmpl w:val="521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F38EB"/>
    <w:multiLevelType w:val="multilevel"/>
    <w:tmpl w:val="9CDA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24BEC"/>
    <w:multiLevelType w:val="hybridMultilevel"/>
    <w:tmpl w:val="C33C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82849"/>
    <w:multiLevelType w:val="multilevel"/>
    <w:tmpl w:val="7354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13ABE"/>
    <w:multiLevelType w:val="multilevel"/>
    <w:tmpl w:val="9A7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F54CB"/>
    <w:multiLevelType w:val="hybridMultilevel"/>
    <w:tmpl w:val="C77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73F24"/>
    <w:multiLevelType w:val="multilevel"/>
    <w:tmpl w:val="2B8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B18F9"/>
    <w:multiLevelType w:val="multilevel"/>
    <w:tmpl w:val="5E6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50BCC"/>
    <w:multiLevelType w:val="hybridMultilevel"/>
    <w:tmpl w:val="D67E5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687BEB"/>
    <w:multiLevelType w:val="multilevel"/>
    <w:tmpl w:val="66A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B1D35"/>
    <w:multiLevelType w:val="multilevel"/>
    <w:tmpl w:val="623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85855"/>
    <w:multiLevelType w:val="multilevel"/>
    <w:tmpl w:val="F21C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41C"/>
    <w:multiLevelType w:val="hybridMultilevel"/>
    <w:tmpl w:val="8234994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B55A73"/>
    <w:multiLevelType w:val="multilevel"/>
    <w:tmpl w:val="90D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3756E"/>
    <w:multiLevelType w:val="multilevel"/>
    <w:tmpl w:val="BE7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6540"/>
    <w:multiLevelType w:val="hybridMultilevel"/>
    <w:tmpl w:val="585065EC"/>
    <w:lvl w:ilvl="0" w:tplc="4EB61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9927CF"/>
    <w:multiLevelType w:val="multilevel"/>
    <w:tmpl w:val="BD3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A4127"/>
    <w:multiLevelType w:val="hybridMultilevel"/>
    <w:tmpl w:val="4E9894BA"/>
    <w:lvl w:ilvl="0" w:tplc="848A0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504A54"/>
    <w:multiLevelType w:val="multilevel"/>
    <w:tmpl w:val="609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22167"/>
    <w:multiLevelType w:val="multilevel"/>
    <w:tmpl w:val="5BE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13928"/>
    <w:multiLevelType w:val="hybridMultilevel"/>
    <w:tmpl w:val="4E9894BA"/>
    <w:lvl w:ilvl="0" w:tplc="848A0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83544D"/>
    <w:multiLevelType w:val="multilevel"/>
    <w:tmpl w:val="C204A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173AE"/>
    <w:multiLevelType w:val="multilevel"/>
    <w:tmpl w:val="46EE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8C7D46"/>
    <w:multiLevelType w:val="multilevel"/>
    <w:tmpl w:val="7B74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045FDA"/>
    <w:multiLevelType w:val="multilevel"/>
    <w:tmpl w:val="EA8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F039B5"/>
    <w:multiLevelType w:val="multilevel"/>
    <w:tmpl w:val="32CC37B6"/>
    <w:lvl w:ilvl="0">
      <w:start w:val="1"/>
      <w:numFmt w:val="upperLetter"/>
      <w:lvlText w:val="%1."/>
      <w:lvlJc w:val="left"/>
      <w:pPr>
        <w:tabs>
          <w:tab w:val="num" w:pos="1080"/>
        </w:tabs>
        <w:ind w:left="1080" w:hanging="360"/>
      </w:pPr>
      <w:rPr>
        <w:rFonts w:hint="default"/>
        <w:sz w:val="20"/>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4335161C"/>
    <w:multiLevelType w:val="multilevel"/>
    <w:tmpl w:val="DB3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5286E"/>
    <w:multiLevelType w:val="hybridMultilevel"/>
    <w:tmpl w:val="985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179D7"/>
    <w:multiLevelType w:val="multilevel"/>
    <w:tmpl w:val="F29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B97123"/>
    <w:multiLevelType w:val="multilevel"/>
    <w:tmpl w:val="119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D901E4"/>
    <w:multiLevelType w:val="multilevel"/>
    <w:tmpl w:val="6A8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20129"/>
    <w:multiLevelType w:val="multilevel"/>
    <w:tmpl w:val="66C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2A50A5"/>
    <w:multiLevelType w:val="multilevel"/>
    <w:tmpl w:val="0D7471F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1344F1"/>
    <w:multiLevelType w:val="multilevel"/>
    <w:tmpl w:val="441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5208B5"/>
    <w:multiLevelType w:val="multilevel"/>
    <w:tmpl w:val="768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C55392"/>
    <w:multiLevelType w:val="hybridMultilevel"/>
    <w:tmpl w:val="474E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E56B6"/>
    <w:multiLevelType w:val="multilevel"/>
    <w:tmpl w:val="8DF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40C92"/>
    <w:multiLevelType w:val="multilevel"/>
    <w:tmpl w:val="D41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A2FDA"/>
    <w:multiLevelType w:val="multilevel"/>
    <w:tmpl w:val="F026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71AA6"/>
    <w:multiLevelType w:val="multilevel"/>
    <w:tmpl w:val="1E3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A5A2F"/>
    <w:multiLevelType w:val="multilevel"/>
    <w:tmpl w:val="35D46444"/>
    <w:lvl w:ilvl="0">
      <w:start w:val="1"/>
      <w:numFmt w:val="bullet"/>
      <w:lvlText w:val=""/>
      <w:lvlJc w:val="left"/>
      <w:pPr>
        <w:tabs>
          <w:tab w:val="num" w:pos="1080"/>
        </w:tabs>
        <w:ind w:left="1080" w:hanging="360"/>
      </w:pPr>
      <w:rPr>
        <w:rFonts w:ascii="Symbol" w:hAnsi="Symbol" w:hint="default"/>
        <w:sz w:val="20"/>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1"/>
  </w:num>
  <w:num w:numId="2">
    <w:abstractNumId w:val="11"/>
  </w:num>
  <w:num w:numId="3">
    <w:abstractNumId w:val="33"/>
  </w:num>
  <w:num w:numId="4">
    <w:abstractNumId w:val="14"/>
  </w:num>
  <w:num w:numId="5">
    <w:abstractNumId w:val="8"/>
  </w:num>
  <w:num w:numId="6">
    <w:abstractNumId w:val="4"/>
  </w:num>
  <w:num w:numId="7">
    <w:abstractNumId w:val="28"/>
  </w:num>
  <w:num w:numId="8">
    <w:abstractNumId w:val="34"/>
  </w:num>
  <w:num w:numId="9">
    <w:abstractNumId w:val="10"/>
  </w:num>
  <w:num w:numId="10">
    <w:abstractNumId w:val="2"/>
  </w:num>
  <w:num w:numId="11">
    <w:abstractNumId w:val="32"/>
  </w:num>
  <w:num w:numId="12">
    <w:abstractNumId w:val="44"/>
  </w:num>
  <w:num w:numId="13">
    <w:abstractNumId w:val="1"/>
  </w:num>
  <w:num w:numId="14">
    <w:abstractNumId w:val="17"/>
  </w:num>
  <w:num w:numId="15">
    <w:abstractNumId w:val="40"/>
  </w:num>
  <w:num w:numId="16">
    <w:abstractNumId w:val="3"/>
  </w:num>
  <w:num w:numId="17">
    <w:abstractNumId w:val="35"/>
  </w:num>
  <w:num w:numId="18">
    <w:abstractNumId w:val="6"/>
  </w:num>
  <w:num w:numId="19">
    <w:abstractNumId w:val="38"/>
  </w:num>
  <w:num w:numId="20">
    <w:abstractNumId w:val="46"/>
  </w:num>
  <w:num w:numId="21">
    <w:abstractNumId w:val="12"/>
  </w:num>
  <w:num w:numId="22">
    <w:abstractNumId w:val="15"/>
  </w:num>
  <w:num w:numId="23">
    <w:abstractNumId w:val="16"/>
  </w:num>
  <w:num w:numId="24">
    <w:abstractNumId w:val="45"/>
  </w:num>
  <w:num w:numId="25">
    <w:abstractNumId w:val="19"/>
  </w:num>
  <w:num w:numId="26">
    <w:abstractNumId w:val="30"/>
  </w:num>
  <w:num w:numId="27">
    <w:abstractNumId w:val="29"/>
  </w:num>
  <w:num w:numId="28">
    <w:abstractNumId w:val="22"/>
  </w:num>
  <w:num w:numId="29">
    <w:abstractNumId w:val="24"/>
  </w:num>
  <w:num w:numId="30">
    <w:abstractNumId w:val="37"/>
  </w:num>
  <w:num w:numId="31">
    <w:abstractNumId w:val="9"/>
  </w:num>
  <w:num w:numId="32">
    <w:abstractNumId w:val="36"/>
  </w:num>
  <w:num w:numId="33">
    <w:abstractNumId w:val="5"/>
  </w:num>
  <w:num w:numId="34">
    <w:abstractNumId w:val="18"/>
  </w:num>
  <w:num w:numId="35">
    <w:abstractNumId w:val="0"/>
  </w:num>
  <w:num w:numId="36">
    <w:abstractNumId w:val="43"/>
  </w:num>
  <w:num w:numId="37">
    <w:abstractNumId w:val="42"/>
  </w:num>
  <w:num w:numId="38">
    <w:abstractNumId w:val="7"/>
  </w:num>
  <w:num w:numId="39">
    <w:abstractNumId w:val="39"/>
  </w:num>
  <w:num w:numId="40">
    <w:abstractNumId w:val="13"/>
  </w:num>
  <w:num w:numId="41">
    <w:abstractNumId w:val="25"/>
  </w:num>
  <w:num w:numId="42">
    <w:abstractNumId w:val="20"/>
  </w:num>
  <w:num w:numId="43">
    <w:abstractNumId w:val="31"/>
  </w:num>
  <w:num w:numId="44">
    <w:abstractNumId w:val="21"/>
  </w:num>
  <w:num w:numId="45">
    <w:abstractNumId w:val="26"/>
  </w:num>
  <w:num w:numId="46">
    <w:abstractNumId w:val="2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E8"/>
    <w:rsid w:val="000361A7"/>
    <w:rsid w:val="00036851"/>
    <w:rsid w:val="000379E8"/>
    <w:rsid w:val="000A0D3A"/>
    <w:rsid w:val="000A6942"/>
    <w:rsid w:val="000B749F"/>
    <w:rsid w:val="000E5920"/>
    <w:rsid w:val="00113381"/>
    <w:rsid w:val="00114A3E"/>
    <w:rsid w:val="0012140C"/>
    <w:rsid w:val="001373C0"/>
    <w:rsid w:val="001D2A6B"/>
    <w:rsid w:val="001E0C4E"/>
    <w:rsid w:val="001F2B4C"/>
    <w:rsid w:val="002141D6"/>
    <w:rsid w:val="00223008"/>
    <w:rsid w:val="0025583A"/>
    <w:rsid w:val="00267857"/>
    <w:rsid w:val="002709E4"/>
    <w:rsid w:val="00295A68"/>
    <w:rsid w:val="002C3A62"/>
    <w:rsid w:val="002D369D"/>
    <w:rsid w:val="002F33CC"/>
    <w:rsid w:val="00304599"/>
    <w:rsid w:val="00337169"/>
    <w:rsid w:val="00372825"/>
    <w:rsid w:val="003C5EEF"/>
    <w:rsid w:val="003D0FC5"/>
    <w:rsid w:val="003E4F87"/>
    <w:rsid w:val="00404DA7"/>
    <w:rsid w:val="00422750"/>
    <w:rsid w:val="00426521"/>
    <w:rsid w:val="00456561"/>
    <w:rsid w:val="00457B8F"/>
    <w:rsid w:val="004713FA"/>
    <w:rsid w:val="00480C00"/>
    <w:rsid w:val="0049109B"/>
    <w:rsid w:val="004B0021"/>
    <w:rsid w:val="004B1032"/>
    <w:rsid w:val="00522256"/>
    <w:rsid w:val="0054567B"/>
    <w:rsid w:val="00556BFC"/>
    <w:rsid w:val="005763FC"/>
    <w:rsid w:val="0058103C"/>
    <w:rsid w:val="00590BD7"/>
    <w:rsid w:val="00592B9D"/>
    <w:rsid w:val="005D06BE"/>
    <w:rsid w:val="005D5219"/>
    <w:rsid w:val="00617CA6"/>
    <w:rsid w:val="006500DA"/>
    <w:rsid w:val="006523A3"/>
    <w:rsid w:val="0068459E"/>
    <w:rsid w:val="006A1DB4"/>
    <w:rsid w:val="006B0A79"/>
    <w:rsid w:val="006B4E3B"/>
    <w:rsid w:val="006C717A"/>
    <w:rsid w:val="006E370A"/>
    <w:rsid w:val="006F6C4C"/>
    <w:rsid w:val="006F7B1E"/>
    <w:rsid w:val="0071072F"/>
    <w:rsid w:val="00710868"/>
    <w:rsid w:val="00720FB8"/>
    <w:rsid w:val="00723008"/>
    <w:rsid w:val="007572AF"/>
    <w:rsid w:val="00766C02"/>
    <w:rsid w:val="007A3354"/>
    <w:rsid w:val="007B1CEB"/>
    <w:rsid w:val="007F3137"/>
    <w:rsid w:val="007F33AD"/>
    <w:rsid w:val="0080408F"/>
    <w:rsid w:val="00821960"/>
    <w:rsid w:val="0084123F"/>
    <w:rsid w:val="008646E0"/>
    <w:rsid w:val="00872F80"/>
    <w:rsid w:val="008842CF"/>
    <w:rsid w:val="008C0AC5"/>
    <w:rsid w:val="008C6CF1"/>
    <w:rsid w:val="008E698F"/>
    <w:rsid w:val="00926390"/>
    <w:rsid w:val="00987182"/>
    <w:rsid w:val="00A1100B"/>
    <w:rsid w:val="00A147D1"/>
    <w:rsid w:val="00A35FDE"/>
    <w:rsid w:val="00A75189"/>
    <w:rsid w:val="00AA0DFE"/>
    <w:rsid w:val="00AB27F6"/>
    <w:rsid w:val="00AC1523"/>
    <w:rsid w:val="00AC72DA"/>
    <w:rsid w:val="00AE168F"/>
    <w:rsid w:val="00AE2449"/>
    <w:rsid w:val="00AF267A"/>
    <w:rsid w:val="00B045EB"/>
    <w:rsid w:val="00B30F2E"/>
    <w:rsid w:val="00B3426D"/>
    <w:rsid w:val="00B379C9"/>
    <w:rsid w:val="00B618EF"/>
    <w:rsid w:val="00B81B20"/>
    <w:rsid w:val="00B93A6B"/>
    <w:rsid w:val="00BB3883"/>
    <w:rsid w:val="00BC5977"/>
    <w:rsid w:val="00BE1A1E"/>
    <w:rsid w:val="00BF126E"/>
    <w:rsid w:val="00C15E56"/>
    <w:rsid w:val="00C15F51"/>
    <w:rsid w:val="00C16270"/>
    <w:rsid w:val="00C23890"/>
    <w:rsid w:val="00C35D9F"/>
    <w:rsid w:val="00C40C25"/>
    <w:rsid w:val="00C552AA"/>
    <w:rsid w:val="00CA007D"/>
    <w:rsid w:val="00CA4FBA"/>
    <w:rsid w:val="00CD3C25"/>
    <w:rsid w:val="00CD4DD1"/>
    <w:rsid w:val="00CD76F1"/>
    <w:rsid w:val="00CE103B"/>
    <w:rsid w:val="00CE5CC1"/>
    <w:rsid w:val="00CF176B"/>
    <w:rsid w:val="00D23E6F"/>
    <w:rsid w:val="00D252A3"/>
    <w:rsid w:val="00D52696"/>
    <w:rsid w:val="00D576A1"/>
    <w:rsid w:val="00DE1358"/>
    <w:rsid w:val="00DF65EE"/>
    <w:rsid w:val="00E30218"/>
    <w:rsid w:val="00E42A27"/>
    <w:rsid w:val="00E605E7"/>
    <w:rsid w:val="00E6622F"/>
    <w:rsid w:val="00E66CC0"/>
    <w:rsid w:val="00E82F6C"/>
    <w:rsid w:val="00EC3D12"/>
    <w:rsid w:val="00ED493B"/>
    <w:rsid w:val="00EF36F5"/>
    <w:rsid w:val="00EF6422"/>
    <w:rsid w:val="00F34FA9"/>
    <w:rsid w:val="00F468F5"/>
    <w:rsid w:val="00F47739"/>
    <w:rsid w:val="00F57907"/>
    <w:rsid w:val="00F84A1B"/>
    <w:rsid w:val="00F9010F"/>
    <w:rsid w:val="00F913CC"/>
    <w:rsid w:val="00F9232E"/>
    <w:rsid w:val="00FA6620"/>
    <w:rsid w:val="00FE2C1F"/>
    <w:rsid w:val="00FF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0C71F-BE3C-4FB9-92B8-1DFA9F2E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79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79E8"/>
    <w:pPr>
      <w:ind w:left="720"/>
      <w:contextualSpacing/>
    </w:pPr>
  </w:style>
  <w:style w:type="character" w:styleId="Hyperlink">
    <w:name w:val="Hyperlink"/>
    <w:basedOn w:val="DefaultParagraphFont"/>
    <w:uiPriority w:val="99"/>
    <w:unhideWhenUsed/>
    <w:rsid w:val="00B618EF"/>
    <w:rPr>
      <w:color w:val="0563C1" w:themeColor="hyperlink"/>
      <w:u w:val="single"/>
    </w:rPr>
  </w:style>
  <w:style w:type="character" w:styleId="FollowedHyperlink">
    <w:name w:val="FollowedHyperlink"/>
    <w:basedOn w:val="DefaultParagraphFont"/>
    <w:uiPriority w:val="99"/>
    <w:semiHidden/>
    <w:unhideWhenUsed/>
    <w:rsid w:val="005D5219"/>
    <w:rPr>
      <w:color w:val="954F72" w:themeColor="followedHyperlink"/>
      <w:u w:val="single"/>
    </w:rPr>
  </w:style>
  <w:style w:type="character" w:customStyle="1" w:styleId="UnresolvedMention1">
    <w:name w:val="Unresolved Mention1"/>
    <w:basedOn w:val="DefaultParagraphFont"/>
    <w:uiPriority w:val="99"/>
    <w:semiHidden/>
    <w:unhideWhenUsed/>
    <w:rsid w:val="005D5219"/>
    <w:rPr>
      <w:color w:val="605E5C"/>
      <w:shd w:val="clear" w:color="auto" w:fill="E1DFDD"/>
    </w:rPr>
  </w:style>
  <w:style w:type="paragraph" w:styleId="BalloonText">
    <w:name w:val="Balloon Text"/>
    <w:basedOn w:val="Normal"/>
    <w:link w:val="BalloonTextChar"/>
    <w:uiPriority w:val="99"/>
    <w:semiHidden/>
    <w:unhideWhenUsed/>
    <w:rsid w:val="00617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A6"/>
    <w:rPr>
      <w:rFonts w:ascii="Tahoma" w:hAnsi="Tahoma" w:cs="Tahoma"/>
      <w:sz w:val="16"/>
      <w:szCs w:val="16"/>
    </w:rPr>
  </w:style>
  <w:style w:type="table" w:styleId="TableGrid">
    <w:name w:val="Table Grid"/>
    <w:basedOn w:val="TableNormal"/>
    <w:uiPriority w:val="39"/>
    <w:rsid w:val="0045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7976">
      <w:bodyDiv w:val="1"/>
      <w:marLeft w:val="0"/>
      <w:marRight w:val="0"/>
      <w:marTop w:val="0"/>
      <w:marBottom w:val="0"/>
      <w:divBdr>
        <w:top w:val="none" w:sz="0" w:space="0" w:color="auto"/>
        <w:left w:val="none" w:sz="0" w:space="0" w:color="auto"/>
        <w:bottom w:val="none" w:sz="0" w:space="0" w:color="auto"/>
        <w:right w:val="none" w:sz="0" w:space="0" w:color="auto"/>
      </w:divBdr>
    </w:div>
    <w:div w:id="284503870">
      <w:bodyDiv w:val="1"/>
      <w:marLeft w:val="0"/>
      <w:marRight w:val="0"/>
      <w:marTop w:val="0"/>
      <w:marBottom w:val="0"/>
      <w:divBdr>
        <w:top w:val="none" w:sz="0" w:space="0" w:color="auto"/>
        <w:left w:val="none" w:sz="0" w:space="0" w:color="auto"/>
        <w:bottom w:val="none" w:sz="0" w:space="0" w:color="auto"/>
        <w:right w:val="none" w:sz="0" w:space="0" w:color="auto"/>
      </w:divBdr>
    </w:div>
    <w:div w:id="412090417">
      <w:bodyDiv w:val="1"/>
      <w:marLeft w:val="0"/>
      <w:marRight w:val="0"/>
      <w:marTop w:val="0"/>
      <w:marBottom w:val="0"/>
      <w:divBdr>
        <w:top w:val="none" w:sz="0" w:space="0" w:color="auto"/>
        <w:left w:val="none" w:sz="0" w:space="0" w:color="auto"/>
        <w:bottom w:val="none" w:sz="0" w:space="0" w:color="auto"/>
        <w:right w:val="none" w:sz="0" w:space="0" w:color="auto"/>
      </w:divBdr>
      <w:divsChild>
        <w:div w:id="1144349206">
          <w:marLeft w:val="0"/>
          <w:marRight w:val="0"/>
          <w:marTop w:val="0"/>
          <w:marBottom w:val="0"/>
          <w:divBdr>
            <w:top w:val="none" w:sz="0" w:space="0" w:color="auto"/>
            <w:left w:val="none" w:sz="0" w:space="0" w:color="auto"/>
            <w:bottom w:val="none" w:sz="0" w:space="0" w:color="auto"/>
            <w:right w:val="none" w:sz="0" w:space="0" w:color="auto"/>
          </w:divBdr>
          <w:divsChild>
            <w:div w:id="1337734016">
              <w:marLeft w:val="0"/>
              <w:marRight w:val="0"/>
              <w:marTop w:val="0"/>
              <w:marBottom w:val="0"/>
              <w:divBdr>
                <w:top w:val="none" w:sz="0" w:space="0" w:color="auto"/>
                <w:left w:val="none" w:sz="0" w:space="0" w:color="auto"/>
                <w:bottom w:val="none" w:sz="0" w:space="0" w:color="auto"/>
                <w:right w:val="none" w:sz="0" w:space="0" w:color="auto"/>
              </w:divBdr>
              <w:divsChild>
                <w:div w:id="659429596">
                  <w:marLeft w:val="0"/>
                  <w:marRight w:val="0"/>
                  <w:marTop w:val="0"/>
                  <w:marBottom w:val="0"/>
                  <w:divBdr>
                    <w:top w:val="none" w:sz="0" w:space="0" w:color="auto"/>
                    <w:left w:val="none" w:sz="0" w:space="0" w:color="auto"/>
                    <w:bottom w:val="none" w:sz="0" w:space="0" w:color="auto"/>
                    <w:right w:val="none" w:sz="0" w:space="0" w:color="auto"/>
                  </w:divBdr>
                  <w:divsChild>
                    <w:div w:id="1778402720">
                      <w:marLeft w:val="0"/>
                      <w:marRight w:val="0"/>
                      <w:marTop w:val="240"/>
                      <w:marBottom w:val="375"/>
                      <w:divBdr>
                        <w:top w:val="single" w:sz="6" w:space="0" w:color="666666"/>
                        <w:left w:val="single" w:sz="6" w:space="11" w:color="666666"/>
                        <w:bottom w:val="single" w:sz="6" w:space="0" w:color="666666"/>
                        <w:right w:val="single" w:sz="6" w:space="0" w:color="666666"/>
                      </w:divBdr>
                      <w:divsChild>
                        <w:div w:id="1108235527">
                          <w:marLeft w:val="0"/>
                          <w:marRight w:val="0"/>
                          <w:marTop w:val="0"/>
                          <w:marBottom w:val="225"/>
                          <w:divBdr>
                            <w:top w:val="none" w:sz="0" w:space="0" w:color="auto"/>
                            <w:left w:val="none" w:sz="0" w:space="0" w:color="auto"/>
                            <w:bottom w:val="none" w:sz="0" w:space="0" w:color="auto"/>
                            <w:right w:val="none" w:sz="0" w:space="0" w:color="auto"/>
                          </w:divBdr>
                        </w:div>
                        <w:div w:id="7066838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07962425">
      <w:bodyDiv w:val="1"/>
      <w:marLeft w:val="0"/>
      <w:marRight w:val="0"/>
      <w:marTop w:val="0"/>
      <w:marBottom w:val="0"/>
      <w:divBdr>
        <w:top w:val="none" w:sz="0" w:space="0" w:color="auto"/>
        <w:left w:val="none" w:sz="0" w:space="0" w:color="auto"/>
        <w:bottom w:val="none" w:sz="0" w:space="0" w:color="auto"/>
        <w:right w:val="none" w:sz="0" w:space="0" w:color="auto"/>
      </w:divBdr>
      <w:divsChild>
        <w:div w:id="837114594">
          <w:marLeft w:val="0"/>
          <w:marRight w:val="0"/>
          <w:marTop w:val="0"/>
          <w:marBottom w:val="0"/>
          <w:divBdr>
            <w:top w:val="none" w:sz="0" w:space="0" w:color="auto"/>
            <w:left w:val="none" w:sz="0" w:space="0" w:color="auto"/>
            <w:bottom w:val="none" w:sz="0" w:space="0" w:color="auto"/>
            <w:right w:val="none" w:sz="0" w:space="0" w:color="auto"/>
          </w:divBdr>
          <w:divsChild>
            <w:div w:id="312569732">
              <w:marLeft w:val="0"/>
              <w:marRight w:val="0"/>
              <w:marTop w:val="0"/>
              <w:marBottom w:val="0"/>
              <w:divBdr>
                <w:top w:val="none" w:sz="0" w:space="0" w:color="auto"/>
                <w:left w:val="none" w:sz="0" w:space="0" w:color="auto"/>
                <w:bottom w:val="none" w:sz="0" w:space="0" w:color="auto"/>
                <w:right w:val="none" w:sz="0" w:space="0" w:color="auto"/>
              </w:divBdr>
              <w:divsChild>
                <w:div w:id="923343707">
                  <w:marLeft w:val="0"/>
                  <w:marRight w:val="0"/>
                  <w:marTop w:val="0"/>
                  <w:marBottom w:val="0"/>
                  <w:divBdr>
                    <w:top w:val="none" w:sz="0" w:space="0" w:color="auto"/>
                    <w:left w:val="none" w:sz="0" w:space="0" w:color="auto"/>
                    <w:bottom w:val="none" w:sz="0" w:space="0" w:color="auto"/>
                    <w:right w:val="none" w:sz="0" w:space="0" w:color="auto"/>
                  </w:divBdr>
                  <w:divsChild>
                    <w:div w:id="168955373">
                      <w:marLeft w:val="0"/>
                      <w:marRight w:val="0"/>
                      <w:marTop w:val="240"/>
                      <w:marBottom w:val="375"/>
                      <w:divBdr>
                        <w:top w:val="single" w:sz="6" w:space="0" w:color="666666"/>
                        <w:left w:val="single" w:sz="6" w:space="11" w:color="666666"/>
                        <w:bottom w:val="single" w:sz="6" w:space="0" w:color="666666"/>
                        <w:right w:val="single" w:sz="6" w:space="0" w:color="666666"/>
                      </w:divBdr>
                      <w:divsChild>
                        <w:div w:id="5137864">
                          <w:marLeft w:val="0"/>
                          <w:marRight w:val="0"/>
                          <w:marTop w:val="0"/>
                          <w:marBottom w:val="225"/>
                          <w:divBdr>
                            <w:top w:val="none" w:sz="0" w:space="0" w:color="auto"/>
                            <w:left w:val="none" w:sz="0" w:space="0" w:color="auto"/>
                            <w:bottom w:val="none" w:sz="0" w:space="0" w:color="auto"/>
                            <w:right w:val="none" w:sz="0" w:space="0" w:color="auto"/>
                          </w:divBdr>
                        </w:div>
                        <w:div w:id="6653272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2/pir.32-11-490" TargetMode="External"/><Relationship Id="rId13" Type="http://schemas.openxmlformats.org/officeDocument/2006/relationships/hyperlink" Target="https://dx.doi.org/10.1542/pir.33-5-195" TargetMode="External"/><Relationship Id="rId18" Type="http://schemas.openxmlformats.org/officeDocument/2006/relationships/hyperlink" Target="http://dx.doi.org/10.1542/pir.35-7-299" TargetMode="External"/><Relationship Id="rId26" Type="http://schemas.openxmlformats.org/officeDocument/2006/relationships/hyperlink" Target="https://www.uptodate.com/contents/hydroxyurea-use-in-sickle-cell-disease?sectionName=Hospitalization&amp;topicRef=7114&amp;anchor=H2836945892&amp;source=see_link" TargetMode="External"/><Relationship Id="rId3" Type="http://schemas.openxmlformats.org/officeDocument/2006/relationships/settings" Target="settings.xml"/><Relationship Id="rId21" Type="http://schemas.openxmlformats.org/officeDocument/2006/relationships/hyperlink" Target="https://pediatriccare.solutions.aap.org/chapter.aspx?sectionId=124995320&amp;bookId=1626&amp;resultClick=1" TargetMode="External"/><Relationship Id="rId7" Type="http://schemas.openxmlformats.org/officeDocument/2006/relationships/hyperlink" Target="http://dx.doi.org/10.1542/pir.28-7-259" TargetMode="External"/><Relationship Id="rId12" Type="http://schemas.openxmlformats.org/officeDocument/2006/relationships/hyperlink" Target="https://pediatriccare.solutions.aap.org/chapter.aspx?sectionId=135885473&amp;bookId=1626&amp;resultClick=1" TargetMode="External"/><Relationship Id="rId17" Type="http://schemas.openxmlformats.org/officeDocument/2006/relationships/hyperlink" Target="http://dx.doi.org/10.1542/peds.2010-0277" TargetMode="External"/><Relationship Id="rId25" Type="http://schemas.openxmlformats.org/officeDocument/2006/relationships/hyperlink" Target="https://www.uptodate.com/contents/image?imageKey=HEME%2F107002&amp;topicKey=HEME%2F7071&amp;source=see_link" TargetMode="External"/><Relationship Id="rId2" Type="http://schemas.openxmlformats.org/officeDocument/2006/relationships/styles" Target="styles.xml"/><Relationship Id="rId16" Type="http://schemas.openxmlformats.org/officeDocument/2006/relationships/hyperlink" Target="https://2020.prepsa.courses.aap.org/PrepSA/Modal/Media.aspx?key=99847a1f-6975-4f29-ac98-1d66d0d12590" TargetMode="External"/><Relationship Id="rId20" Type="http://schemas.openxmlformats.org/officeDocument/2006/relationships/hyperlink" Target="https://www.google.com/url?q=https://jamanetwork.com/journals/jamapediatrics/fullarticle/2281576&amp;sa=D&amp;ust=1565902348708000&amp;usg=AFQjCNHuWEJo4GfJlV2hlqcCVNc9NmpYDQ" TargetMode="External"/><Relationship Id="rId29" Type="http://schemas.openxmlformats.org/officeDocument/2006/relationships/hyperlink" Target="https://dx.doi.org/10.1542/pir.33-5-195"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111/bjh.12950" TargetMode="External"/><Relationship Id="rId24" Type="http://schemas.openxmlformats.org/officeDocument/2006/relationships/image" Target="media/image2.png"/><Relationship Id="rId5" Type="http://schemas.openxmlformats.org/officeDocument/2006/relationships/hyperlink" Target="https://2020.prepsa.courses.aap.org/PrepSA/Modal/Media.aspx?key=a64d7c4c-0bf1-4b00-a058-9dd4906ac74b" TargetMode="External"/><Relationship Id="rId15" Type="http://schemas.openxmlformats.org/officeDocument/2006/relationships/hyperlink" Target="https://2020.prepsa.courses.aap.org/PrepSA/Modal/PDF.aspx?key=4f3fd801-4e3e-4eff-8d1b-5220915ef813" TargetMode="External"/><Relationship Id="rId23" Type="http://schemas.openxmlformats.org/officeDocument/2006/relationships/hyperlink" Target="https://insights.ovid.com/pubmed?pmid=28737622" TargetMode="External"/><Relationship Id="rId28" Type="http://schemas.openxmlformats.org/officeDocument/2006/relationships/hyperlink" Target="https://dx.doi.org/10.1542/pir.33-5-195" TargetMode="External"/><Relationship Id="rId10" Type="http://schemas.openxmlformats.org/officeDocument/2006/relationships/hyperlink" Target="https://dx.doi.org/10.1542/pir.2016-0131" TargetMode="External"/><Relationship Id="rId19" Type="http://schemas.openxmlformats.org/officeDocument/2006/relationships/hyperlink" Target="http://dx.doi.org/10.1542/pir.36-12-5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542/pir.33-5-195" TargetMode="External"/><Relationship Id="rId14" Type="http://schemas.openxmlformats.org/officeDocument/2006/relationships/hyperlink" Target="https://dx.doi.org/10.1056/NEJMra1510865" TargetMode="External"/><Relationship Id="rId22" Type="http://schemas.openxmlformats.org/officeDocument/2006/relationships/hyperlink" Target="http://dx.doi.org/10.1002/pbc.25911" TargetMode="Externa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6754</Words>
  <Characters>38503</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Sangillo, Emily</dc:creator>
  <cp:keywords/>
  <dc:description/>
  <cp:lastModifiedBy>Wynne, Kathryn</cp:lastModifiedBy>
  <cp:revision>2</cp:revision>
  <dcterms:created xsi:type="dcterms:W3CDTF">2020-06-04T18:39:00Z</dcterms:created>
  <dcterms:modified xsi:type="dcterms:W3CDTF">2020-06-04T18:39:00Z</dcterms:modified>
</cp:coreProperties>
</file>