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F13" w:rsidRPr="006F1CBE" w:rsidRDefault="00956F13" w:rsidP="00956F13">
      <w:pPr>
        <w:pStyle w:val="p13"/>
        <w:tabs>
          <w:tab w:val="left" w:pos="379"/>
        </w:tabs>
        <w:spacing w:line="276" w:lineRule="auto"/>
        <w:ind w:left="0" w:firstLine="0"/>
        <w:rPr>
          <w:b/>
          <w:bCs/>
          <w:color w:val="000000" w:themeColor="text1"/>
          <w:sz w:val="22"/>
          <w:szCs w:val="22"/>
        </w:rPr>
      </w:pPr>
      <w:r w:rsidRPr="006F1CBE">
        <w:rPr>
          <w:b/>
          <w:bCs/>
          <w:color w:val="000000" w:themeColor="text1"/>
          <w:sz w:val="22"/>
          <w:szCs w:val="22"/>
        </w:rPr>
        <w:t>Hematuria (Objective I.4)</w:t>
      </w:r>
    </w:p>
    <w:p w:rsidR="00956F13" w:rsidRPr="006F1CBE" w:rsidRDefault="00956F13" w:rsidP="00956F13">
      <w:pPr>
        <w:pStyle w:val="p13"/>
        <w:numPr>
          <w:ilvl w:val="0"/>
          <w:numId w:val="1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Cs/>
          <w:color w:val="000000" w:themeColor="text1"/>
          <w:sz w:val="22"/>
          <w:szCs w:val="22"/>
        </w:rPr>
        <w:t xml:space="preserve">Macroscopic </w:t>
      </w:r>
      <w:hyperlink r:id="rId5" w:history="1">
        <w:r w:rsidRPr="006F1CBE">
          <w:rPr>
            <w:rStyle w:val="Hyperlink"/>
            <w:b/>
            <w:bCs/>
            <w:sz w:val="22"/>
            <w:szCs w:val="22"/>
          </w:rPr>
          <w:t>hematuria</w:t>
        </w:r>
      </w:hyperlink>
      <w:r w:rsidRPr="006F1CBE">
        <w:rPr>
          <w:bCs/>
          <w:color w:val="000000" w:themeColor="text1"/>
          <w:sz w:val="22"/>
          <w:szCs w:val="22"/>
        </w:rPr>
        <w:t xml:space="preserve"> is defined as visible blood in the urine which can present as pink, red, or cola-colored urine. Microscopic hematuria is defined as &gt;5 RBC/mm</w:t>
      </w:r>
      <w:r w:rsidRPr="006F1CBE">
        <w:rPr>
          <w:bCs/>
          <w:color w:val="000000" w:themeColor="text1"/>
          <w:sz w:val="22"/>
          <w:szCs w:val="22"/>
          <w:vertAlign w:val="superscript"/>
        </w:rPr>
        <w:t>3</w:t>
      </w:r>
      <w:r w:rsidRPr="006F1CBE">
        <w:rPr>
          <w:bCs/>
          <w:color w:val="000000" w:themeColor="text1"/>
          <w:sz w:val="22"/>
          <w:szCs w:val="22"/>
        </w:rPr>
        <w:t xml:space="preserve"> in uncentrifuged urine or &gt;5 RBC/HPF in centrifuged urine on 2 or more occasions (</w:t>
      </w:r>
      <w:proofErr w:type="spellStart"/>
      <w:r w:rsidRPr="006F1CBE">
        <w:rPr>
          <w:bCs/>
          <w:color w:val="000000" w:themeColor="text1"/>
          <w:sz w:val="22"/>
          <w:szCs w:val="22"/>
        </w:rPr>
        <w:t>Viteri</w:t>
      </w:r>
      <w:proofErr w:type="spellEnd"/>
      <w:r w:rsidRPr="006F1CBE">
        <w:rPr>
          <w:bCs/>
          <w:color w:val="000000" w:themeColor="text1"/>
          <w:sz w:val="22"/>
          <w:szCs w:val="22"/>
        </w:rPr>
        <w:t xml:space="preserve"> 2018). The following flow chart adapted from the American Academy of Pediatric provides an algorithm for the evaluation of hematuria in the primary care setting. </w:t>
      </w:r>
    </w:p>
    <w:p w:rsidR="00956F13" w:rsidRDefault="00956F13" w:rsidP="00956F13">
      <w:pPr>
        <w:pStyle w:val="p13"/>
        <w:tabs>
          <w:tab w:val="left" w:pos="379"/>
        </w:tabs>
        <w:spacing w:line="276" w:lineRule="auto"/>
        <w:ind w:left="0" w:firstLine="0"/>
        <w:jc w:val="center"/>
        <w:rPr>
          <w:bCs/>
          <w:color w:val="000000" w:themeColor="text1"/>
          <w:sz w:val="22"/>
          <w:szCs w:val="22"/>
        </w:rPr>
      </w:pPr>
      <w:r w:rsidRPr="006F1CBE">
        <w:rPr>
          <w:noProof/>
          <w:color w:val="000000" w:themeColor="text1"/>
          <w:sz w:val="22"/>
          <w:szCs w:val="22"/>
        </w:rPr>
        <w:drawing>
          <wp:inline distT="0" distB="0" distL="0" distR="0" wp14:anchorId="06658709" wp14:editId="7FFA18CA">
            <wp:extent cx="4733925" cy="5619968"/>
            <wp:effectExtent l="0" t="0" r="0" b="0"/>
            <wp:docPr id="1" name="Picture 1" descr="https://pedsinreview.aappublications.org/content/pedsinreview/39/12/573/F1.large.jpg?width=800&amp;height=600&amp;carouse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sinreview.aappublications.org/content/pedsinreview/39/12/573/F1.large.jpg?width=800&amp;height=600&amp;carousel=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40" cy="567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F13" w:rsidRPr="006F1CBE" w:rsidRDefault="00956F13" w:rsidP="00956F13">
      <w:pPr>
        <w:pStyle w:val="p13"/>
        <w:tabs>
          <w:tab w:val="left" w:pos="379"/>
        </w:tabs>
        <w:spacing w:line="276" w:lineRule="auto"/>
        <w:ind w:left="0" w:firstLine="0"/>
        <w:jc w:val="right"/>
        <w:rPr>
          <w:bCs/>
          <w:color w:val="000000" w:themeColor="text1"/>
          <w:sz w:val="22"/>
          <w:szCs w:val="22"/>
        </w:rPr>
      </w:pPr>
      <w:proofErr w:type="spellStart"/>
      <w:r>
        <w:rPr>
          <w:bCs/>
          <w:color w:val="000000" w:themeColor="text1"/>
          <w:sz w:val="22"/>
          <w:szCs w:val="22"/>
        </w:rPr>
        <w:t>Viteri</w:t>
      </w:r>
      <w:proofErr w:type="spellEnd"/>
      <w:r>
        <w:rPr>
          <w:bCs/>
          <w:color w:val="000000" w:themeColor="text1"/>
          <w:sz w:val="22"/>
          <w:szCs w:val="22"/>
        </w:rPr>
        <w:t xml:space="preserve"> and Reid-Adam, 2018</w:t>
      </w:r>
    </w:p>
    <w:p w:rsidR="00956F13" w:rsidRPr="006F1CBE" w:rsidRDefault="00956F13" w:rsidP="00956F13">
      <w:pPr>
        <w:pStyle w:val="p13"/>
        <w:numPr>
          <w:ilvl w:val="0"/>
          <w:numId w:val="2"/>
        </w:numPr>
        <w:tabs>
          <w:tab w:val="left" w:pos="379"/>
        </w:tabs>
        <w:spacing w:line="276" w:lineRule="auto"/>
        <w:rPr>
          <w:bCs/>
          <w:color w:val="000000" w:themeColor="text1"/>
          <w:sz w:val="22"/>
          <w:szCs w:val="22"/>
        </w:rPr>
      </w:pPr>
      <w:r w:rsidRPr="006F1CBE">
        <w:rPr>
          <w:bCs/>
          <w:color w:val="000000" w:themeColor="text1"/>
          <w:sz w:val="22"/>
          <w:szCs w:val="22"/>
        </w:rPr>
        <w:t xml:space="preserve">The </w:t>
      </w:r>
      <w:hyperlink r:id="rId8" w:history="1">
        <w:r w:rsidRPr="006F1CBE">
          <w:rPr>
            <w:rStyle w:val="Hyperlink"/>
            <w:b/>
            <w:bCs/>
            <w:sz w:val="22"/>
            <w:szCs w:val="22"/>
          </w:rPr>
          <w:t>treatment of hematuria</w:t>
        </w:r>
      </w:hyperlink>
      <w:r w:rsidRPr="006F1CBE">
        <w:rPr>
          <w:bCs/>
          <w:color w:val="4472C4" w:themeColor="accent1"/>
          <w:sz w:val="22"/>
          <w:szCs w:val="22"/>
        </w:rPr>
        <w:t xml:space="preserve"> </w:t>
      </w:r>
      <w:r w:rsidRPr="006F1CBE">
        <w:rPr>
          <w:bCs/>
          <w:color w:val="000000" w:themeColor="text1"/>
          <w:sz w:val="22"/>
          <w:szCs w:val="22"/>
        </w:rPr>
        <w:t xml:space="preserve">is highly variable depending on the cause. For a review of the causes and appropriate treatment, please see this 2018 Article. </w:t>
      </w:r>
    </w:p>
    <w:p w:rsidR="00AD0D0B" w:rsidRDefault="00AD0D0B">
      <w:bookmarkStart w:id="0" w:name="_GoBack"/>
      <w:bookmarkEnd w:id="0"/>
    </w:p>
    <w:sectPr w:rsidR="00AD0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A554C"/>
    <w:multiLevelType w:val="hybridMultilevel"/>
    <w:tmpl w:val="3E14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B34C4"/>
    <w:multiLevelType w:val="hybridMultilevel"/>
    <w:tmpl w:val="21B80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13"/>
    <w:rsid w:val="00033D06"/>
    <w:rsid w:val="000356E5"/>
    <w:rsid w:val="0005262B"/>
    <w:rsid w:val="000577B6"/>
    <w:rsid w:val="0006029A"/>
    <w:rsid w:val="00093921"/>
    <w:rsid w:val="00093A7E"/>
    <w:rsid w:val="000B3DD7"/>
    <w:rsid w:val="000C0A46"/>
    <w:rsid w:val="000E1304"/>
    <w:rsid w:val="000E1A79"/>
    <w:rsid w:val="00101AB2"/>
    <w:rsid w:val="00132E99"/>
    <w:rsid w:val="001356F4"/>
    <w:rsid w:val="001738C7"/>
    <w:rsid w:val="00173FAB"/>
    <w:rsid w:val="00175A40"/>
    <w:rsid w:val="001812BE"/>
    <w:rsid w:val="0019626F"/>
    <w:rsid w:val="001A0E4F"/>
    <w:rsid w:val="001B7859"/>
    <w:rsid w:val="001C782E"/>
    <w:rsid w:val="001F7237"/>
    <w:rsid w:val="00206B07"/>
    <w:rsid w:val="002129B0"/>
    <w:rsid w:val="00231CE4"/>
    <w:rsid w:val="00247080"/>
    <w:rsid w:val="00253B7F"/>
    <w:rsid w:val="002549A9"/>
    <w:rsid w:val="00264B25"/>
    <w:rsid w:val="00270DB3"/>
    <w:rsid w:val="00277C78"/>
    <w:rsid w:val="002A621B"/>
    <w:rsid w:val="002B7003"/>
    <w:rsid w:val="002C0674"/>
    <w:rsid w:val="002C7AAF"/>
    <w:rsid w:val="002F1A6F"/>
    <w:rsid w:val="002F2E12"/>
    <w:rsid w:val="0031139D"/>
    <w:rsid w:val="00313B49"/>
    <w:rsid w:val="003150AE"/>
    <w:rsid w:val="00317552"/>
    <w:rsid w:val="00350115"/>
    <w:rsid w:val="003978EE"/>
    <w:rsid w:val="003A01B4"/>
    <w:rsid w:val="003A032B"/>
    <w:rsid w:val="003A7B2F"/>
    <w:rsid w:val="003C7F78"/>
    <w:rsid w:val="003F0121"/>
    <w:rsid w:val="003F5379"/>
    <w:rsid w:val="00403AC6"/>
    <w:rsid w:val="0041022F"/>
    <w:rsid w:val="00420FC2"/>
    <w:rsid w:val="00452C81"/>
    <w:rsid w:val="00464FBF"/>
    <w:rsid w:val="004756EA"/>
    <w:rsid w:val="00485BB9"/>
    <w:rsid w:val="00494825"/>
    <w:rsid w:val="004A3A4E"/>
    <w:rsid w:val="004B7D3A"/>
    <w:rsid w:val="004E3BFF"/>
    <w:rsid w:val="004F53F6"/>
    <w:rsid w:val="00531474"/>
    <w:rsid w:val="00535E1D"/>
    <w:rsid w:val="005759FA"/>
    <w:rsid w:val="005819C1"/>
    <w:rsid w:val="005C2241"/>
    <w:rsid w:val="005C7E8A"/>
    <w:rsid w:val="005D7920"/>
    <w:rsid w:val="005E0CE8"/>
    <w:rsid w:val="00632BAB"/>
    <w:rsid w:val="0063564A"/>
    <w:rsid w:val="00651353"/>
    <w:rsid w:val="00665BD1"/>
    <w:rsid w:val="00680A44"/>
    <w:rsid w:val="0068332D"/>
    <w:rsid w:val="0068673B"/>
    <w:rsid w:val="006A041A"/>
    <w:rsid w:val="006A4581"/>
    <w:rsid w:val="006B236E"/>
    <w:rsid w:val="006D6B03"/>
    <w:rsid w:val="007070D6"/>
    <w:rsid w:val="00727C19"/>
    <w:rsid w:val="00734F1E"/>
    <w:rsid w:val="00745133"/>
    <w:rsid w:val="00756AD4"/>
    <w:rsid w:val="0079384D"/>
    <w:rsid w:val="00814BAF"/>
    <w:rsid w:val="0082691C"/>
    <w:rsid w:val="0083757A"/>
    <w:rsid w:val="008859BB"/>
    <w:rsid w:val="008A79BD"/>
    <w:rsid w:val="008B7A09"/>
    <w:rsid w:val="008D6A28"/>
    <w:rsid w:val="008D767E"/>
    <w:rsid w:val="0093599C"/>
    <w:rsid w:val="00956F13"/>
    <w:rsid w:val="00974145"/>
    <w:rsid w:val="00982C7F"/>
    <w:rsid w:val="00986F11"/>
    <w:rsid w:val="00991CEE"/>
    <w:rsid w:val="00995831"/>
    <w:rsid w:val="009F559A"/>
    <w:rsid w:val="00A054C1"/>
    <w:rsid w:val="00A070BB"/>
    <w:rsid w:val="00A20EF7"/>
    <w:rsid w:val="00A212D6"/>
    <w:rsid w:val="00A278F5"/>
    <w:rsid w:val="00A35D39"/>
    <w:rsid w:val="00A443BE"/>
    <w:rsid w:val="00A655AA"/>
    <w:rsid w:val="00A8547A"/>
    <w:rsid w:val="00A858E9"/>
    <w:rsid w:val="00A874EA"/>
    <w:rsid w:val="00A90B59"/>
    <w:rsid w:val="00A90E30"/>
    <w:rsid w:val="00A94FA0"/>
    <w:rsid w:val="00AB4417"/>
    <w:rsid w:val="00AD0D0B"/>
    <w:rsid w:val="00AD7370"/>
    <w:rsid w:val="00AE0C26"/>
    <w:rsid w:val="00AE5E5C"/>
    <w:rsid w:val="00B13BE1"/>
    <w:rsid w:val="00B35775"/>
    <w:rsid w:val="00B778C8"/>
    <w:rsid w:val="00B7792A"/>
    <w:rsid w:val="00B85936"/>
    <w:rsid w:val="00BC684F"/>
    <w:rsid w:val="00C03AA4"/>
    <w:rsid w:val="00C244CA"/>
    <w:rsid w:val="00C371B4"/>
    <w:rsid w:val="00C41E24"/>
    <w:rsid w:val="00C466EC"/>
    <w:rsid w:val="00C56A75"/>
    <w:rsid w:val="00C74E56"/>
    <w:rsid w:val="00C75436"/>
    <w:rsid w:val="00CA095C"/>
    <w:rsid w:val="00CB0700"/>
    <w:rsid w:val="00CC5EB1"/>
    <w:rsid w:val="00CC7653"/>
    <w:rsid w:val="00CD1395"/>
    <w:rsid w:val="00CE4834"/>
    <w:rsid w:val="00CF7A23"/>
    <w:rsid w:val="00D164C2"/>
    <w:rsid w:val="00D339AE"/>
    <w:rsid w:val="00D4297B"/>
    <w:rsid w:val="00D52B59"/>
    <w:rsid w:val="00D53A8C"/>
    <w:rsid w:val="00D63581"/>
    <w:rsid w:val="00D9572C"/>
    <w:rsid w:val="00DA11A3"/>
    <w:rsid w:val="00DB6DA3"/>
    <w:rsid w:val="00DC680F"/>
    <w:rsid w:val="00DD0C80"/>
    <w:rsid w:val="00DE1DB6"/>
    <w:rsid w:val="00DE2B7C"/>
    <w:rsid w:val="00DF1FB1"/>
    <w:rsid w:val="00DF264D"/>
    <w:rsid w:val="00E1374A"/>
    <w:rsid w:val="00E137D6"/>
    <w:rsid w:val="00E25D82"/>
    <w:rsid w:val="00E47E0E"/>
    <w:rsid w:val="00E953F9"/>
    <w:rsid w:val="00EB47B5"/>
    <w:rsid w:val="00EC488F"/>
    <w:rsid w:val="00EC749D"/>
    <w:rsid w:val="00F030E1"/>
    <w:rsid w:val="00F04A2B"/>
    <w:rsid w:val="00F15CB8"/>
    <w:rsid w:val="00F92752"/>
    <w:rsid w:val="00FC7E10"/>
    <w:rsid w:val="00FE4D7A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A418D-287B-45CB-A366-95D905C4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3">
    <w:name w:val="p13"/>
    <w:basedOn w:val="Normal"/>
    <w:rsid w:val="00956F13"/>
    <w:pPr>
      <w:widowControl w:val="0"/>
      <w:autoSpaceDE w:val="0"/>
      <w:autoSpaceDN w:val="0"/>
      <w:adjustRightInd w:val="0"/>
      <w:spacing w:after="0" w:line="240" w:lineRule="auto"/>
      <w:ind w:left="1061" w:hanging="379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6F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6097192/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edsinreview.aappublications.org/content/39/12/57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Wynne, Kathryn</dc:creator>
  <cp:keywords/>
  <dc:description/>
  <cp:lastModifiedBy>Wynne, Kathryn</cp:lastModifiedBy>
  <cp:revision>1</cp:revision>
  <dcterms:created xsi:type="dcterms:W3CDTF">2020-11-17T02:42:00Z</dcterms:created>
  <dcterms:modified xsi:type="dcterms:W3CDTF">2020-11-17T02:42:00Z</dcterms:modified>
</cp:coreProperties>
</file>