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16B2F" w14:textId="43E61F4D" w:rsidR="00126687" w:rsidRDefault="00126687">
      <w:r>
        <w:rPr>
          <w:noProof/>
        </w:rPr>
        <w:drawing>
          <wp:anchor distT="0" distB="0" distL="114300" distR="114300" simplePos="0" relativeHeight="251659264" behindDoc="1" locked="0" layoutInCell="1" allowOverlap="1" wp14:anchorId="4E3E2956" wp14:editId="08283255">
            <wp:simplePos x="0" y="0"/>
            <wp:positionH relativeFrom="page">
              <wp:align>left</wp:align>
            </wp:positionH>
            <wp:positionV relativeFrom="page">
              <wp:posOffset>-635</wp:posOffset>
            </wp:positionV>
            <wp:extent cx="7785735" cy="1371600"/>
            <wp:effectExtent l="0" t="0" r="571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2-01.png"/>
                    <pic:cNvPicPr/>
                  </pic:nvPicPr>
                  <pic:blipFill rotWithShape="1">
                    <a:blip r:embed="rId4" cstate="print">
                      <a:extLst>
                        <a:ext uri="{28A0092B-C50C-407E-A947-70E740481C1C}">
                          <a14:useLocalDpi xmlns:a14="http://schemas.microsoft.com/office/drawing/2010/main" val="0"/>
                        </a:ext>
                      </a:extLst>
                    </a:blip>
                    <a:srcRect b="86387"/>
                    <a:stretch/>
                  </pic:blipFill>
                  <pic:spPr bwMode="auto">
                    <a:xfrm>
                      <a:off x="0" y="0"/>
                      <a:ext cx="7785735" cy="1371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649DB0" w14:textId="77777777" w:rsidR="00126687" w:rsidRDefault="00126687"/>
    <w:p w14:paraId="52A008D4" w14:textId="77777777" w:rsidR="00126687" w:rsidRDefault="00126687"/>
    <w:p w14:paraId="211B10A1" w14:textId="091F8980" w:rsidR="001E2AC4" w:rsidRDefault="001E2AC4"/>
    <w:p w14:paraId="599BDBEC" w14:textId="77777777" w:rsidR="00126687" w:rsidRPr="0015331E" w:rsidRDefault="00126687" w:rsidP="00126687">
      <w:pPr>
        <w:spacing w:after="0" w:line="240" w:lineRule="auto"/>
        <w:jc w:val="center"/>
        <w:rPr>
          <w:rFonts w:ascii="Arial Black" w:hAnsi="Arial Black"/>
          <w:color w:val="000FA6"/>
          <w:sz w:val="36"/>
          <w:szCs w:val="36"/>
        </w:rPr>
      </w:pPr>
      <w:r w:rsidRPr="0015331E">
        <w:rPr>
          <w:rFonts w:ascii="Arial Black" w:hAnsi="Arial Black"/>
          <w:color w:val="000FA6"/>
          <w:sz w:val="36"/>
          <w:szCs w:val="36"/>
        </w:rPr>
        <w:t>The Graduate School of Biomedical Sciences</w:t>
      </w:r>
    </w:p>
    <w:p w14:paraId="4B50D9C1" w14:textId="6950B98C" w:rsidR="00126687" w:rsidRPr="0015331E" w:rsidRDefault="0015122B" w:rsidP="00126687">
      <w:pPr>
        <w:spacing w:after="0" w:line="240" w:lineRule="auto"/>
        <w:jc w:val="center"/>
        <w:rPr>
          <w:rFonts w:ascii="Arial Black" w:hAnsi="Arial Black"/>
          <w:color w:val="000FA6"/>
          <w:sz w:val="36"/>
          <w:szCs w:val="36"/>
        </w:rPr>
      </w:pPr>
      <w:r w:rsidRPr="0015331E">
        <w:rPr>
          <w:rFonts w:ascii="Arial Black" w:hAnsi="Arial Black"/>
          <w:color w:val="000FA6"/>
          <w:sz w:val="36"/>
          <w:szCs w:val="36"/>
        </w:rPr>
        <w:t>Clinical &amp; Population Health Research Program</w:t>
      </w:r>
    </w:p>
    <w:p w14:paraId="77BEA5F7" w14:textId="3F6C54C9" w:rsidR="00126687" w:rsidRPr="00946A46" w:rsidRDefault="00126687" w:rsidP="00126687">
      <w:pPr>
        <w:spacing w:before="240" w:after="240" w:line="240" w:lineRule="auto"/>
        <w:jc w:val="center"/>
        <w:rPr>
          <w:rFonts w:ascii="Arial" w:hAnsi="Arial" w:cs="Arial"/>
        </w:rPr>
      </w:pPr>
      <w:r w:rsidRPr="00946A46">
        <w:rPr>
          <w:rFonts w:ascii="Arial" w:hAnsi="Arial" w:cs="Arial"/>
        </w:rPr>
        <w:t>Announce</w:t>
      </w:r>
      <w:r>
        <w:rPr>
          <w:rFonts w:ascii="Arial" w:hAnsi="Arial" w:cs="Arial"/>
        </w:rPr>
        <w:t>s</w:t>
      </w:r>
      <w:r w:rsidRPr="00946A46">
        <w:rPr>
          <w:rFonts w:ascii="Arial" w:hAnsi="Arial" w:cs="Arial"/>
        </w:rPr>
        <w:t xml:space="preserve"> the </w:t>
      </w:r>
      <w:r w:rsidR="0093056D">
        <w:rPr>
          <w:rFonts w:ascii="Arial" w:hAnsi="Arial" w:cs="Arial"/>
        </w:rPr>
        <w:t>PhD</w:t>
      </w:r>
      <w:r w:rsidRPr="00946A46">
        <w:rPr>
          <w:rFonts w:ascii="Arial" w:hAnsi="Arial" w:cs="Arial"/>
        </w:rPr>
        <w:t xml:space="preserve"> Thesis Defense of</w:t>
      </w:r>
    </w:p>
    <w:p w14:paraId="67F1E14D" w14:textId="5D02D3D2" w:rsidR="00126687" w:rsidRPr="0015331E" w:rsidRDefault="00BC58E0" w:rsidP="00126687">
      <w:pPr>
        <w:spacing w:before="120" w:after="120" w:line="240" w:lineRule="auto"/>
        <w:jc w:val="center"/>
        <w:rPr>
          <w:rFonts w:ascii="Arial Black" w:hAnsi="Arial Black" w:cs="Arial"/>
          <w:color w:val="000FA6"/>
          <w:sz w:val="36"/>
          <w:szCs w:val="36"/>
        </w:rPr>
      </w:pPr>
      <w:r>
        <w:rPr>
          <w:rFonts w:ascii="Arial Black" w:hAnsi="Arial Black" w:cs="Arial"/>
          <w:color w:val="000FA6"/>
          <w:sz w:val="36"/>
          <w:szCs w:val="36"/>
        </w:rPr>
        <w:t xml:space="preserve">MAIRA </w:t>
      </w:r>
      <w:r w:rsidR="00AE73C4">
        <w:rPr>
          <w:rFonts w:ascii="Arial Black" w:hAnsi="Arial Black" w:cs="Arial"/>
          <w:color w:val="000FA6"/>
          <w:sz w:val="36"/>
          <w:szCs w:val="36"/>
        </w:rPr>
        <w:t xml:space="preserve">A. </w:t>
      </w:r>
      <w:r>
        <w:rPr>
          <w:rFonts w:ascii="Arial Black" w:hAnsi="Arial Black" w:cs="Arial"/>
          <w:color w:val="000FA6"/>
          <w:sz w:val="36"/>
          <w:szCs w:val="36"/>
        </w:rPr>
        <w:t>CASTA</w:t>
      </w:r>
      <w:r w:rsidR="00AE73C4">
        <w:rPr>
          <w:rFonts w:ascii="Arial Black" w:hAnsi="Arial Black" w:cs="Arial"/>
          <w:color w:val="000FA6"/>
          <w:sz w:val="36"/>
          <w:szCs w:val="36"/>
        </w:rPr>
        <w:t>Ñ</w:t>
      </w:r>
      <w:r>
        <w:rPr>
          <w:rFonts w:ascii="Arial Black" w:hAnsi="Arial Black" w:cs="Arial"/>
          <w:color w:val="000FA6"/>
          <w:sz w:val="36"/>
          <w:szCs w:val="36"/>
        </w:rPr>
        <w:t>EDA AVILA</w:t>
      </w:r>
    </w:p>
    <w:p w14:paraId="5C44ACC6" w14:textId="77777777" w:rsidR="00BC58E0" w:rsidRDefault="00BC58E0" w:rsidP="007B53F0">
      <w:pPr>
        <w:spacing w:before="240" w:after="240" w:line="240" w:lineRule="auto"/>
        <w:jc w:val="center"/>
        <w:rPr>
          <w:rFonts w:ascii="Arial" w:hAnsi="Arial" w:cs="Arial"/>
          <w:b/>
          <w:bCs/>
          <w:noProof/>
        </w:rPr>
      </w:pPr>
      <w:r w:rsidRPr="00BC58E0">
        <w:rPr>
          <w:rFonts w:ascii="Arial" w:hAnsi="Arial" w:cs="Arial"/>
          <w:b/>
          <w:bCs/>
          <w:noProof/>
        </w:rPr>
        <w:t>The Role of a Monoclonal Gammopathy of Undetermined Significance Diagnosis in Healthcare Utilization</w:t>
      </w:r>
    </w:p>
    <w:p w14:paraId="28F573EA" w14:textId="199B4DB7" w:rsidR="00B90B5E" w:rsidRDefault="00CA3D95" w:rsidP="007B53F0">
      <w:pPr>
        <w:spacing w:before="240" w:after="240" w:line="240" w:lineRule="auto"/>
        <w:jc w:val="center"/>
        <w:rPr>
          <w:rFonts w:ascii="Arial" w:hAnsi="Arial" w:cs="Arial"/>
        </w:rPr>
      </w:pPr>
      <w:r>
        <w:rPr>
          <w:rFonts w:ascii="Arial" w:hAnsi="Arial" w:cs="Arial"/>
        </w:rPr>
        <w:t>Thursday</w:t>
      </w:r>
      <w:r w:rsidR="00126687" w:rsidRPr="0015331E">
        <w:rPr>
          <w:rFonts w:ascii="Arial" w:hAnsi="Arial" w:cs="Arial"/>
        </w:rPr>
        <w:t xml:space="preserve">, </w:t>
      </w:r>
      <w:r>
        <w:rPr>
          <w:rFonts w:ascii="Arial" w:hAnsi="Arial" w:cs="Arial"/>
        </w:rPr>
        <w:t>May 13</w:t>
      </w:r>
      <w:r w:rsidR="00126687" w:rsidRPr="0015331E">
        <w:rPr>
          <w:rFonts w:ascii="Arial" w:hAnsi="Arial" w:cs="Arial"/>
        </w:rPr>
        <w:t>, 202</w:t>
      </w:r>
      <w:r w:rsidR="000A377A" w:rsidRPr="0015331E">
        <w:rPr>
          <w:rFonts w:ascii="Arial" w:hAnsi="Arial" w:cs="Arial"/>
        </w:rPr>
        <w:t>1</w:t>
      </w:r>
      <w:r w:rsidR="00126687" w:rsidRPr="0015331E">
        <w:rPr>
          <w:rFonts w:ascii="Arial" w:hAnsi="Arial" w:cs="Arial"/>
        </w:rPr>
        <w:t xml:space="preserve"> at </w:t>
      </w:r>
      <w:r>
        <w:rPr>
          <w:rFonts w:ascii="Arial" w:hAnsi="Arial" w:cs="Arial"/>
        </w:rPr>
        <w:t>11 a</w:t>
      </w:r>
      <w:r w:rsidR="00126687" w:rsidRPr="0015331E">
        <w:rPr>
          <w:rFonts w:ascii="Arial" w:hAnsi="Arial" w:cs="Arial"/>
        </w:rPr>
        <w:t xml:space="preserve">.m. </w:t>
      </w:r>
      <w:r w:rsidR="00466B7D" w:rsidRPr="0015331E">
        <w:rPr>
          <w:rFonts w:ascii="Arial" w:hAnsi="Arial" w:cs="Arial"/>
        </w:rPr>
        <w:t>v</w:t>
      </w:r>
      <w:r w:rsidR="00126687" w:rsidRPr="0015331E">
        <w:rPr>
          <w:rFonts w:ascii="Arial" w:hAnsi="Arial" w:cs="Arial"/>
        </w:rPr>
        <w:t>ia Zoom Meeting</w:t>
      </w:r>
    </w:p>
    <w:p w14:paraId="760130A1" w14:textId="77777777" w:rsidR="009B1CFC" w:rsidRPr="009B1CFC" w:rsidRDefault="009B1CFC" w:rsidP="007B53F0">
      <w:pPr>
        <w:spacing w:before="240" w:after="240" w:line="240" w:lineRule="auto"/>
        <w:jc w:val="center"/>
        <w:rPr>
          <w:rFonts w:ascii="Arial" w:hAnsi="Arial" w:cs="Arial"/>
          <w:sz w:val="2"/>
          <w:szCs w:val="2"/>
        </w:rPr>
      </w:pPr>
    </w:p>
    <w:p w14:paraId="33AD4B71" w14:textId="77777777" w:rsidR="00CA3D95" w:rsidRPr="00CA3D95" w:rsidRDefault="00CA3D95" w:rsidP="00CA3D95">
      <w:pPr>
        <w:spacing w:before="120" w:after="120" w:line="240" w:lineRule="auto"/>
        <w:rPr>
          <w:rFonts w:ascii="Arial" w:eastAsia="Calibri" w:hAnsi="Arial" w:cs="Arial"/>
          <w:color w:val="000000"/>
          <w:sz w:val="20"/>
          <w:szCs w:val="20"/>
        </w:rPr>
      </w:pPr>
      <w:r w:rsidRPr="00CA3D95">
        <w:rPr>
          <w:rFonts w:ascii="Arial" w:eastAsia="Calibri" w:hAnsi="Arial" w:cs="Arial"/>
          <w:color w:val="000000"/>
          <w:sz w:val="20"/>
          <w:szCs w:val="20"/>
          <w:u w:val="single"/>
        </w:rPr>
        <w:t>Background</w:t>
      </w:r>
      <w:r w:rsidRPr="00CA3D95">
        <w:rPr>
          <w:rFonts w:ascii="Arial" w:eastAsia="Calibri" w:hAnsi="Arial" w:cs="Arial"/>
          <w:color w:val="000000"/>
          <w:sz w:val="20"/>
          <w:szCs w:val="20"/>
        </w:rPr>
        <w:t>: Monoclonal Gammopathy of Undetermined Significance (MGUS) is an understudied precursor of multiple myeloma (MM), the second most prevalent hematologic malignancy in the United States. This dissertation was designed to: (1) Describe the trajectories of serum biomarkers over time in patients with an MGUS diagnosis, (2) Determine if an MGUS diagnosis is associated with changes in healthcare service utilization, and (3) explore the patient- and provider-level drivers of healthcare utilization in patients with MGUS.</w:t>
      </w:r>
    </w:p>
    <w:p w14:paraId="1A34074B" w14:textId="77777777" w:rsidR="00CA3D95" w:rsidRPr="00B15C43" w:rsidRDefault="00CA3D95" w:rsidP="00CA3D95">
      <w:pPr>
        <w:spacing w:before="120" w:after="120" w:line="240" w:lineRule="auto"/>
        <w:rPr>
          <w:rFonts w:ascii="Arial" w:eastAsia="Calibri" w:hAnsi="Arial" w:cs="Arial"/>
          <w:color w:val="000000"/>
          <w:sz w:val="2"/>
          <w:szCs w:val="2"/>
        </w:rPr>
      </w:pPr>
    </w:p>
    <w:p w14:paraId="59088889" w14:textId="77777777" w:rsidR="00CA3D95" w:rsidRPr="00CA3D95" w:rsidRDefault="00CA3D95" w:rsidP="00CA3D95">
      <w:pPr>
        <w:spacing w:before="120" w:after="120" w:line="240" w:lineRule="auto"/>
        <w:rPr>
          <w:rFonts w:ascii="Arial" w:eastAsia="Calibri" w:hAnsi="Arial" w:cs="Arial"/>
          <w:color w:val="000000"/>
          <w:sz w:val="20"/>
          <w:szCs w:val="20"/>
        </w:rPr>
      </w:pPr>
      <w:r w:rsidRPr="00CA3D95">
        <w:rPr>
          <w:rFonts w:ascii="Arial" w:eastAsia="Calibri" w:hAnsi="Arial" w:cs="Arial"/>
          <w:color w:val="000000"/>
          <w:sz w:val="20"/>
          <w:szCs w:val="20"/>
          <w:u w:val="single"/>
        </w:rPr>
        <w:t>Methods</w:t>
      </w:r>
      <w:r w:rsidRPr="00CA3D95">
        <w:rPr>
          <w:rFonts w:ascii="Arial" w:eastAsia="Calibri" w:hAnsi="Arial" w:cs="Arial"/>
          <w:color w:val="000000"/>
          <w:sz w:val="20"/>
          <w:szCs w:val="20"/>
        </w:rPr>
        <w:t xml:space="preserve">: Data sources include health claims and electronic health records from a community-based population of patients seeking care in central Massachusetts and primary qualitative data collected from providers and patients’ interviews. The analyses included descriptive statistics, group-based trajectory modeling, conditional Poisson regression, and qualitative data analyses. </w:t>
      </w:r>
    </w:p>
    <w:p w14:paraId="376AC3C4" w14:textId="77777777" w:rsidR="00CA3D95" w:rsidRPr="00B15C43" w:rsidRDefault="00CA3D95" w:rsidP="00CA3D95">
      <w:pPr>
        <w:spacing w:before="120" w:after="120" w:line="240" w:lineRule="auto"/>
        <w:rPr>
          <w:rFonts w:ascii="Arial" w:eastAsia="Calibri" w:hAnsi="Arial" w:cs="Arial"/>
          <w:color w:val="000000"/>
          <w:sz w:val="2"/>
          <w:szCs w:val="2"/>
        </w:rPr>
      </w:pPr>
    </w:p>
    <w:p w14:paraId="15E5016F" w14:textId="77777777" w:rsidR="00CA3D95" w:rsidRPr="00CA3D95" w:rsidRDefault="00CA3D95" w:rsidP="00CA3D95">
      <w:pPr>
        <w:spacing w:before="120" w:after="120" w:line="240" w:lineRule="auto"/>
        <w:rPr>
          <w:rFonts w:ascii="Arial" w:eastAsia="Calibri" w:hAnsi="Arial" w:cs="Arial"/>
          <w:color w:val="000000"/>
          <w:sz w:val="20"/>
          <w:szCs w:val="20"/>
        </w:rPr>
      </w:pPr>
      <w:r w:rsidRPr="00CA3D95">
        <w:rPr>
          <w:rFonts w:ascii="Arial" w:eastAsia="Calibri" w:hAnsi="Arial" w:cs="Arial"/>
          <w:color w:val="000000"/>
          <w:sz w:val="20"/>
          <w:szCs w:val="20"/>
          <w:u w:val="single"/>
        </w:rPr>
        <w:t>Results</w:t>
      </w:r>
      <w:r w:rsidRPr="00CA3D95">
        <w:rPr>
          <w:rFonts w:ascii="Arial" w:eastAsia="Calibri" w:hAnsi="Arial" w:cs="Arial"/>
          <w:color w:val="000000"/>
          <w:sz w:val="20"/>
          <w:szCs w:val="20"/>
        </w:rPr>
        <w:t xml:space="preserve">: (1) Three distinct multi-trajectory groups of creatinine and hemoglobin were identified. (2) The rates of emergency room, hospital, and outpatient visits were higher for patients with MGUS than patients without MGUS. (3) Patients have a basic understanding of </w:t>
      </w:r>
      <w:proofErr w:type="gramStart"/>
      <w:r w:rsidRPr="00CA3D95">
        <w:rPr>
          <w:rFonts w:ascii="Arial" w:eastAsia="Calibri" w:hAnsi="Arial" w:cs="Arial"/>
          <w:color w:val="000000"/>
          <w:sz w:val="20"/>
          <w:szCs w:val="20"/>
        </w:rPr>
        <w:t>MGUS,</w:t>
      </w:r>
      <w:proofErr w:type="gramEnd"/>
      <w:r w:rsidRPr="00CA3D95">
        <w:rPr>
          <w:rFonts w:ascii="Arial" w:eastAsia="Calibri" w:hAnsi="Arial" w:cs="Arial"/>
          <w:color w:val="000000"/>
          <w:sz w:val="20"/>
          <w:szCs w:val="20"/>
        </w:rPr>
        <w:t xml:space="preserve"> however, some patients feel anxiety, which may affect other aspects of their lives. Patients primarily see hematologists for follow-up care; other providers have less knowledge about MGUS. </w:t>
      </w:r>
    </w:p>
    <w:p w14:paraId="0D74C0E4" w14:textId="77777777" w:rsidR="00CA3D95" w:rsidRPr="00B15C43" w:rsidRDefault="00CA3D95" w:rsidP="00CA3D95">
      <w:pPr>
        <w:spacing w:before="120" w:after="120" w:line="240" w:lineRule="auto"/>
        <w:rPr>
          <w:rFonts w:ascii="Arial" w:eastAsia="Calibri" w:hAnsi="Arial" w:cs="Arial"/>
          <w:color w:val="000000"/>
          <w:sz w:val="2"/>
          <w:szCs w:val="2"/>
        </w:rPr>
      </w:pPr>
    </w:p>
    <w:p w14:paraId="72156086" w14:textId="03E6B401" w:rsidR="00FE71EB" w:rsidRDefault="00CA3D95" w:rsidP="00CA3D95">
      <w:pPr>
        <w:spacing w:before="120" w:after="120" w:line="240" w:lineRule="auto"/>
        <w:rPr>
          <w:rFonts w:ascii="Arial" w:eastAsia="Calibri" w:hAnsi="Arial" w:cs="Arial"/>
          <w:color w:val="000000"/>
          <w:sz w:val="20"/>
          <w:szCs w:val="20"/>
        </w:rPr>
      </w:pPr>
      <w:r w:rsidRPr="00CA3D95">
        <w:rPr>
          <w:rFonts w:ascii="Arial" w:eastAsia="Calibri" w:hAnsi="Arial" w:cs="Arial"/>
          <w:color w:val="000000"/>
          <w:sz w:val="20"/>
          <w:szCs w:val="20"/>
          <w:u w:val="single"/>
        </w:rPr>
        <w:t>Conclusions</w:t>
      </w:r>
      <w:r w:rsidRPr="00CA3D95">
        <w:rPr>
          <w:rFonts w:ascii="Arial" w:eastAsia="Calibri" w:hAnsi="Arial" w:cs="Arial"/>
          <w:color w:val="000000"/>
          <w:sz w:val="20"/>
          <w:szCs w:val="20"/>
        </w:rPr>
        <w:t>: Biomarker trajectories characterize specific subpopulations of patients with MGUS over time. We found that an MGUS diagnosis is associated with higher healthcare utilization, especially during the months surrounding the diagnosis date. Finally, our study suggests that some patients with MGUS may need psychosocial support services and identifies a gap in knowledge around caring for MGUS patients among primary care providers.</w:t>
      </w:r>
    </w:p>
    <w:p w14:paraId="4494354C" w14:textId="77777777" w:rsidR="00D74309" w:rsidRPr="00CA3D95" w:rsidRDefault="00D74309" w:rsidP="00CA3D95">
      <w:pPr>
        <w:spacing w:before="120" w:after="120" w:line="240" w:lineRule="auto"/>
        <w:rPr>
          <w:rFonts w:ascii="Arial" w:eastAsia="Calibri" w:hAnsi="Arial" w:cs="Arial"/>
          <w:color w:val="000000"/>
          <w:sz w:val="6"/>
          <w:szCs w:val="6"/>
        </w:rPr>
      </w:pPr>
    </w:p>
    <w:p w14:paraId="0E795459" w14:textId="1D716052" w:rsidR="00126687" w:rsidRDefault="00126687" w:rsidP="00126687">
      <w:pPr>
        <w:spacing w:before="120" w:after="120" w:line="240" w:lineRule="auto"/>
        <w:rPr>
          <w:rFonts w:ascii="Arial" w:hAnsi="Arial" w:cs="Arial"/>
          <w:sz w:val="6"/>
          <w:szCs w:val="6"/>
        </w:rPr>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5395"/>
      </w:tblGrid>
      <w:tr w:rsidR="0092317C" w:rsidRPr="00B90B5E" w14:paraId="21A6A5A1" w14:textId="77777777" w:rsidTr="00E75B99">
        <w:tc>
          <w:tcPr>
            <w:tcW w:w="4315" w:type="dxa"/>
          </w:tcPr>
          <w:p w14:paraId="661F83CA" w14:textId="77777777" w:rsidR="0092317C" w:rsidRPr="00946A46" w:rsidRDefault="0092317C" w:rsidP="00E75B99">
            <w:pPr>
              <w:spacing w:before="120" w:after="120"/>
              <w:rPr>
                <w:rFonts w:ascii="Arial" w:hAnsi="Arial" w:cs="Arial"/>
                <w:b/>
                <w:bCs/>
                <w:color w:val="515151"/>
                <w:sz w:val="24"/>
                <w:szCs w:val="24"/>
              </w:rPr>
            </w:pPr>
            <w:r w:rsidRPr="00946A46">
              <w:rPr>
                <w:rFonts w:ascii="Arial" w:hAnsi="Arial" w:cs="Arial"/>
                <w:b/>
                <w:bCs/>
                <w:color w:val="515151"/>
                <w:sz w:val="24"/>
                <w:szCs w:val="24"/>
              </w:rPr>
              <w:t>Mentor</w:t>
            </w:r>
          </w:p>
          <w:p w14:paraId="620FD35E" w14:textId="64A90FF8" w:rsidR="0092317C" w:rsidRPr="00946A46" w:rsidRDefault="0092317C" w:rsidP="00E75B99">
            <w:pPr>
              <w:spacing w:before="120" w:after="120"/>
              <w:rPr>
                <w:rFonts w:ascii="Arial" w:hAnsi="Arial" w:cs="Arial"/>
                <w:color w:val="000000" w:themeColor="text1"/>
              </w:rPr>
            </w:pPr>
            <w:r>
              <w:rPr>
                <w:rFonts w:ascii="Arial" w:hAnsi="Arial" w:cs="Arial"/>
                <w:color w:val="000000" w:themeColor="text1"/>
              </w:rPr>
              <w:t>Mara Epstein</w:t>
            </w:r>
            <w:r w:rsidRPr="00946A46">
              <w:rPr>
                <w:rFonts w:ascii="Arial" w:hAnsi="Arial" w:cs="Arial"/>
                <w:color w:val="000000" w:themeColor="text1"/>
              </w:rPr>
              <w:t xml:space="preserve">, </w:t>
            </w:r>
            <w:r w:rsidR="003E0E1A">
              <w:rPr>
                <w:rFonts w:ascii="Arial" w:hAnsi="Arial" w:cs="Arial"/>
                <w:color w:val="000000" w:themeColor="text1"/>
              </w:rPr>
              <w:t>ScD</w:t>
            </w:r>
          </w:p>
          <w:p w14:paraId="142CA813" w14:textId="77777777" w:rsidR="0092317C" w:rsidRPr="00946A46" w:rsidRDefault="0092317C" w:rsidP="00E75B99">
            <w:pPr>
              <w:spacing w:before="120" w:after="120"/>
              <w:rPr>
                <w:rFonts w:ascii="Arial" w:hAnsi="Arial" w:cs="Arial"/>
              </w:rPr>
            </w:pPr>
          </w:p>
        </w:tc>
        <w:tc>
          <w:tcPr>
            <w:tcW w:w="5395" w:type="dxa"/>
          </w:tcPr>
          <w:p w14:paraId="10389C19" w14:textId="77777777" w:rsidR="0092317C" w:rsidRPr="00946A46" w:rsidRDefault="0092317C" w:rsidP="00E75B99">
            <w:pPr>
              <w:spacing w:before="120" w:after="120"/>
              <w:rPr>
                <w:rFonts w:ascii="Arial" w:hAnsi="Arial" w:cs="Arial"/>
                <w:b/>
                <w:bCs/>
                <w:color w:val="515151"/>
                <w:sz w:val="24"/>
                <w:szCs w:val="24"/>
              </w:rPr>
            </w:pPr>
            <w:r w:rsidRPr="00946A46">
              <w:rPr>
                <w:rFonts w:ascii="Arial" w:hAnsi="Arial" w:cs="Arial"/>
                <w:b/>
                <w:bCs/>
                <w:color w:val="515151"/>
                <w:sz w:val="24"/>
                <w:szCs w:val="24"/>
              </w:rPr>
              <w:t>Dissertation Exam Committee</w:t>
            </w:r>
          </w:p>
          <w:p w14:paraId="66C93196" w14:textId="0AC3612D" w:rsidR="0092317C" w:rsidRPr="00F40C9E" w:rsidRDefault="0092317C" w:rsidP="00E75B99">
            <w:pPr>
              <w:spacing w:before="120" w:after="120"/>
              <w:rPr>
                <w:rFonts w:ascii="Arial" w:hAnsi="Arial" w:cs="Arial"/>
                <w:color w:val="000000" w:themeColor="text1"/>
              </w:rPr>
            </w:pPr>
            <w:r>
              <w:rPr>
                <w:rFonts w:ascii="Arial" w:hAnsi="Arial" w:cs="Arial"/>
                <w:color w:val="000000" w:themeColor="text1"/>
              </w:rPr>
              <w:t>Lori Pbert, PhD</w:t>
            </w:r>
            <w:r w:rsidRPr="00F40C9E">
              <w:rPr>
                <w:rFonts w:ascii="Arial" w:hAnsi="Arial" w:cs="Arial"/>
                <w:color w:val="000000" w:themeColor="text1"/>
              </w:rPr>
              <w:t xml:space="preserve"> (Chair)</w:t>
            </w:r>
          </w:p>
          <w:p w14:paraId="4F8044C6" w14:textId="3AFCEDCD" w:rsidR="0092317C" w:rsidRPr="006618E8" w:rsidRDefault="0092317C" w:rsidP="00E75B99">
            <w:pPr>
              <w:spacing w:before="120" w:after="120"/>
              <w:rPr>
                <w:rFonts w:ascii="Arial" w:hAnsi="Arial" w:cs="Arial"/>
                <w:color w:val="000000" w:themeColor="text1"/>
              </w:rPr>
            </w:pPr>
            <w:r>
              <w:rPr>
                <w:rFonts w:ascii="Arial" w:hAnsi="Arial" w:cs="Arial"/>
                <w:color w:val="000000" w:themeColor="text1"/>
              </w:rPr>
              <w:t>William Jesdale</w:t>
            </w:r>
            <w:r w:rsidRPr="006618E8">
              <w:rPr>
                <w:rFonts w:ascii="Arial" w:hAnsi="Arial" w:cs="Arial"/>
                <w:color w:val="000000" w:themeColor="text1"/>
              </w:rPr>
              <w:t>, PhD</w:t>
            </w:r>
          </w:p>
          <w:p w14:paraId="06DB2E62" w14:textId="2D6827F9" w:rsidR="0092317C" w:rsidRPr="006618E8" w:rsidRDefault="0092317C" w:rsidP="00E75B99">
            <w:pPr>
              <w:spacing w:before="120" w:after="120"/>
              <w:rPr>
                <w:rFonts w:ascii="Arial" w:hAnsi="Arial" w:cs="Arial"/>
                <w:color w:val="000000" w:themeColor="text1"/>
              </w:rPr>
            </w:pPr>
            <w:r>
              <w:rPr>
                <w:rFonts w:ascii="Arial" w:hAnsi="Arial" w:cs="Arial"/>
                <w:color w:val="000000" w:themeColor="text1"/>
              </w:rPr>
              <w:t>Jonggyu Baek</w:t>
            </w:r>
            <w:r w:rsidRPr="006618E8">
              <w:rPr>
                <w:rFonts w:ascii="Arial" w:hAnsi="Arial" w:cs="Arial"/>
                <w:color w:val="000000" w:themeColor="text1"/>
              </w:rPr>
              <w:t>, P</w:t>
            </w:r>
            <w:r>
              <w:rPr>
                <w:rFonts w:ascii="Arial" w:hAnsi="Arial" w:cs="Arial"/>
                <w:color w:val="000000" w:themeColor="text1"/>
              </w:rPr>
              <w:t>hD</w:t>
            </w:r>
          </w:p>
          <w:p w14:paraId="218F1FE6" w14:textId="619CD2D9" w:rsidR="0092317C" w:rsidRPr="005A633B" w:rsidRDefault="0092317C" w:rsidP="00E75B99">
            <w:pPr>
              <w:spacing w:before="120" w:after="120"/>
              <w:rPr>
                <w:rFonts w:ascii="Arial" w:hAnsi="Arial" w:cs="Arial"/>
                <w:color w:val="000000" w:themeColor="text1"/>
              </w:rPr>
            </w:pPr>
            <w:r>
              <w:rPr>
                <w:rFonts w:ascii="Arial" w:hAnsi="Arial" w:cs="Arial"/>
                <w:color w:val="000000" w:themeColor="text1"/>
              </w:rPr>
              <w:t>Kathleen Mazor, EdD</w:t>
            </w:r>
          </w:p>
          <w:p w14:paraId="0AC77A2C" w14:textId="5392D579" w:rsidR="0092317C" w:rsidRPr="00B90B5E" w:rsidRDefault="0092317C" w:rsidP="00E75B99">
            <w:pPr>
              <w:spacing w:before="120" w:after="120"/>
              <w:rPr>
                <w:rFonts w:ascii="Arial" w:hAnsi="Arial" w:cs="Arial"/>
              </w:rPr>
            </w:pPr>
            <w:r>
              <w:rPr>
                <w:rFonts w:ascii="Arial" w:hAnsi="Arial" w:cs="Arial"/>
                <w:color w:val="000000" w:themeColor="text1"/>
              </w:rPr>
              <w:t>Michelle Hildebrandt</w:t>
            </w:r>
            <w:r w:rsidRPr="00B90B5E">
              <w:rPr>
                <w:rFonts w:ascii="Arial" w:hAnsi="Arial" w:cs="Arial"/>
                <w:color w:val="000000" w:themeColor="text1"/>
              </w:rPr>
              <w:t>, PhD (</w:t>
            </w:r>
            <w:r>
              <w:rPr>
                <w:rFonts w:ascii="Arial" w:hAnsi="Arial" w:cs="Arial"/>
                <w:color w:val="000000" w:themeColor="text1"/>
              </w:rPr>
              <w:t>MD Anderson Cancer Center) - External Member</w:t>
            </w:r>
          </w:p>
        </w:tc>
      </w:tr>
    </w:tbl>
    <w:p w14:paraId="19EAA3D5" w14:textId="72A32E53" w:rsidR="00126687" w:rsidRPr="005725A0" w:rsidRDefault="00126687" w:rsidP="0092317C">
      <w:pPr>
        <w:spacing w:before="120" w:after="120" w:line="240" w:lineRule="auto"/>
      </w:pPr>
    </w:p>
    <w:sectPr w:rsidR="00126687" w:rsidRPr="005725A0" w:rsidSect="0012668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87"/>
    <w:rsid w:val="000A377A"/>
    <w:rsid w:val="00126687"/>
    <w:rsid w:val="0015122B"/>
    <w:rsid w:val="0015331E"/>
    <w:rsid w:val="001D2E63"/>
    <w:rsid w:val="001D4863"/>
    <w:rsid w:val="001E2AC4"/>
    <w:rsid w:val="00203CD3"/>
    <w:rsid w:val="00270EF2"/>
    <w:rsid w:val="003E0E1A"/>
    <w:rsid w:val="003F71D7"/>
    <w:rsid w:val="00466B7D"/>
    <w:rsid w:val="00515264"/>
    <w:rsid w:val="00572596"/>
    <w:rsid w:val="005725A0"/>
    <w:rsid w:val="005C416F"/>
    <w:rsid w:val="00632D67"/>
    <w:rsid w:val="00681EA8"/>
    <w:rsid w:val="00797CAD"/>
    <w:rsid w:val="007B53F0"/>
    <w:rsid w:val="00861A48"/>
    <w:rsid w:val="0092317C"/>
    <w:rsid w:val="0093056D"/>
    <w:rsid w:val="009B1CFC"/>
    <w:rsid w:val="00AA3B49"/>
    <w:rsid w:val="00AE73C4"/>
    <w:rsid w:val="00B15C43"/>
    <w:rsid w:val="00B76549"/>
    <w:rsid w:val="00B90B5E"/>
    <w:rsid w:val="00B95615"/>
    <w:rsid w:val="00BA3EF4"/>
    <w:rsid w:val="00BC58E0"/>
    <w:rsid w:val="00CA3D95"/>
    <w:rsid w:val="00D74309"/>
    <w:rsid w:val="00E639B5"/>
    <w:rsid w:val="00ED4388"/>
    <w:rsid w:val="00F1033A"/>
    <w:rsid w:val="00FE7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C7A5A"/>
  <w15:chartTrackingRefBased/>
  <w15:docId w15:val="{E898F24E-F492-4DB3-AE90-0C2DA23AA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6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389870">
      <w:bodyDiv w:val="1"/>
      <w:marLeft w:val="0"/>
      <w:marRight w:val="0"/>
      <w:marTop w:val="0"/>
      <w:marBottom w:val="0"/>
      <w:divBdr>
        <w:top w:val="none" w:sz="0" w:space="0" w:color="auto"/>
        <w:left w:val="none" w:sz="0" w:space="0" w:color="auto"/>
        <w:bottom w:val="none" w:sz="0" w:space="0" w:color="auto"/>
        <w:right w:val="none" w:sz="0" w:space="0" w:color="auto"/>
      </w:divBdr>
    </w:div>
    <w:div w:id="192552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Doane, Tricia</dc:creator>
  <cp:keywords/>
  <dc:description/>
  <cp:lastModifiedBy>Parker, Irina</cp:lastModifiedBy>
  <cp:revision>2</cp:revision>
  <dcterms:created xsi:type="dcterms:W3CDTF">2021-04-15T17:38:00Z</dcterms:created>
  <dcterms:modified xsi:type="dcterms:W3CDTF">2021-04-15T17:38:00Z</dcterms:modified>
</cp:coreProperties>
</file>